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B97B" w14:textId="77777777" w:rsidR="00B0325E" w:rsidRDefault="00B0325E" w:rsidP="00B0325E">
      <w:pPr>
        <w:spacing w:line="259" w:lineRule="auto"/>
        <w:rPr>
          <w:rFonts w:ascii="Calibri" w:eastAsia="Calibri" w:hAnsi="Calibri"/>
          <w:szCs w:val="22"/>
        </w:rPr>
      </w:pPr>
    </w:p>
    <w:p w14:paraId="21388325" w14:textId="1C2B0062" w:rsidR="007875D6" w:rsidRPr="00CF5B37" w:rsidRDefault="00547EC7" w:rsidP="00096D47">
      <w:pPr>
        <w:spacing w:after="160" w:line="259" w:lineRule="auto"/>
        <w:rPr>
          <w:rFonts w:ascii="Calibri" w:eastAsia="Calibri" w:hAnsi="Calibri"/>
          <w:szCs w:val="22"/>
        </w:rPr>
      </w:pPr>
      <w:r>
        <w:rPr>
          <w:rFonts w:ascii="Calibri" w:eastAsia="Calibri" w:hAnsi="Calibri"/>
          <w:szCs w:val="22"/>
        </w:rPr>
        <w:t>As required by HB 6 of the 2024 Regular Legislative Session, t</w:t>
      </w:r>
      <w:r w:rsidR="00096D47">
        <w:rPr>
          <w:rFonts w:ascii="Calibri" w:eastAsia="Calibri" w:hAnsi="Calibri"/>
          <w:szCs w:val="22"/>
        </w:rPr>
        <w:t xml:space="preserve">he Department for Medicaid Services (DMS) submits </w:t>
      </w:r>
      <w:r>
        <w:rPr>
          <w:rFonts w:ascii="Calibri" w:eastAsia="Calibri" w:hAnsi="Calibri"/>
          <w:szCs w:val="22"/>
        </w:rPr>
        <w:t>this</w:t>
      </w:r>
      <w:r w:rsidR="007875D6" w:rsidRPr="00CF5B37">
        <w:rPr>
          <w:rFonts w:ascii="Calibri" w:eastAsia="Calibri" w:hAnsi="Calibri"/>
          <w:szCs w:val="22"/>
        </w:rPr>
        <w:t xml:space="preserve"> pharmacy </w:t>
      </w:r>
      <w:r w:rsidR="007875D6">
        <w:rPr>
          <w:rFonts w:ascii="Calibri" w:eastAsia="Calibri" w:hAnsi="Calibri"/>
          <w:szCs w:val="22"/>
        </w:rPr>
        <w:t xml:space="preserve">benefits </w:t>
      </w:r>
      <w:r w:rsidR="007875D6" w:rsidRPr="00CF5B37">
        <w:rPr>
          <w:rFonts w:ascii="Calibri" w:eastAsia="Calibri" w:hAnsi="Calibri"/>
          <w:szCs w:val="22"/>
        </w:rPr>
        <w:t>report</w:t>
      </w:r>
      <w:r w:rsidR="007875D6">
        <w:rPr>
          <w:rFonts w:ascii="Calibri" w:eastAsia="Calibri" w:hAnsi="Calibri"/>
          <w:szCs w:val="22"/>
        </w:rPr>
        <w:t>ing</w:t>
      </w:r>
      <w:r w:rsidR="007875D6" w:rsidRPr="00CF5B37">
        <w:rPr>
          <w:rFonts w:ascii="Calibri" w:eastAsia="Calibri" w:hAnsi="Calibri"/>
          <w:szCs w:val="22"/>
        </w:rPr>
        <w:t xml:space="preserve">. </w:t>
      </w:r>
    </w:p>
    <w:p w14:paraId="35407341" w14:textId="15BEF9BF" w:rsidR="007875D6" w:rsidRDefault="007875D6" w:rsidP="00096D47">
      <w:pPr>
        <w:spacing w:after="160" w:line="259" w:lineRule="auto"/>
        <w:rPr>
          <w:rFonts w:ascii="Calibri" w:eastAsia="Calibri" w:hAnsi="Calibri"/>
          <w:szCs w:val="22"/>
        </w:rPr>
      </w:pPr>
      <w:r>
        <w:rPr>
          <w:rFonts w:ascii="Calibri" w:eastAsia="Calibri" w:hAnsi="Calibri"/>
          <w:szCs w:val="22"/>
        </w:rPr>
        <w:t xml:space="preserve">This Pharmacy Benefits Report continues to show no existing spread pricing within the pharmacy program. As of July 2021, DMS has fully implemented the single state pharmacy benefit manager contract. DMS will continue to comply with this legislation going forward and </w:t>
      </w:r>
      <w:r w:rsidR="00E274FB">
        <w:rPr>
          <w:rFonts w:ascii="Calibri" w:eastAsia="Calibri" w:hAnsi="Calibri"/>
          <w:szCs w:val="22"/>
        </w:rPr>
        <w:t>prohibit</w:t>
      </w:r>
      <w:r>
        <w:rPr>
          <w:rFonts w:ascii="Calibri" w:eastAsia="Calibri" w:hAnsi="Calibri"/>
          <w:szCs w:val="22"/>
        </w:rPr>
        <w:t xml:space="preserve"> spread pricing. </w:t>
      </w:r>
    </w:p>
    <w:p w14:paraId="04925FB1" w14:textId="06B106DE" w:rsidR="007875D6" w:rsidRPr="00CF5B37" w:rsidRDefault="007875D6" w:rsidP="007875D6">
      <w:pPr>
        <w:spacing w:after="160" w:line="259" w:lineRule="auto"/>
        <w:rPr>
          <w:rFonts w:ascii="Calibri" w:eastAsia="Calibri" w:hAnsi="Calibri"/>
          <w:szCs w:val="22"/>
        </w:rPr>
      </w:pPr>
      <w:r>
        <w:rPr>
          <w:rFonts w:ascii="Calibri" w:eastAsia="Calibri" w:hAnsi="Calibri"/>
          <w:szCs w:val="22"/>
        </w:rPr>
        <w:t xml:space="preserve">This document applies to the </w:t>
      </w:r>
      <w:r w:rsidRPr="00CF5B37">
        <w:rPr>
          <w:rFonts w:ascii="Calibri" w:eastAsia="Calibri" w:hAnsi="Calibri"/>
          <w:szCs w:val="22"/>
        </w:rPr>
        <w:t>Kentucky Medicaid MCO pharmacy benefit during the 202</w:t>
      </w:r>
      <w:r w:rsidR="00C10199">
        <w:rPr>
          <w:rFonts w:ascii="Calibri" w:eastAsia="Calibri" w:hAnsi="Calibri"/>
          <w:szCs w:val="22"/>
        </w:rPr>
        <w:t>4</w:t>
      </w:r>
      <w:r w:rsidRPr="00CF5B37">
        <w:rPr>
          <w:rFonts w:ascii="Calibri" w:eastAsia="Calibri" w:hAnsi="Calibri"/>
          <w:szCs w:val="22"/>
        </w:rPr>
        <w:t xml:space="preserve"> State Fiscal Year</w:t>
      </w:r>
      <w:r>
        <w:rPr>
          <w:rFonts w:ascii="Calibri" w:eastAsia="Calibri" w:hAnsi="Calibri"/>
          <w:szCs w:val="22"/>
        </w:rPr>
        <w:t xml:space="preserve"> (ending June 30, 2024)</w:t>
      </w:r>
      <w:r w:rsidRPr="00CF5B37">
        <w:rPr>
          <w:rFonts w:ascii="Calibri" w:eastAsia="Calibri" w:hAnsi="Calibri"/>
          <w:szCs w:val="22"/>
        </w:rPr>
        <w:t xml:space="preserve">. </w:t>
      </w:r>
      <w:r>
        <w:rPr>
          <w:rFonts w:ascii="Calibri" w:eastAsia="Calibri" w:hAnsi="Calibri"/>
          <w:szCs w:val="22"/>
        </w:rPr>
        <w:t xml:space="preserve">As the table below shows, spread pricing is not utilized by the single state MCO benefit manager and, therefore, none of the contracted MCOs demonstrate a spread pricing function. Additional requirements and verifications requested in noncodified language within the state budget are also addressed below. </w:t>
      </w:r>
    </w:p>
    <w:p w14:paraId="54922D26" w14:textId="77777777" w:rsidR="007875D6" w:rsidRPr="007875D6" w:rsidRDefault="007875D6" w:rsidP="007875D6">
      <w:pPr>
        <w:jc w:val="center"/>
        <w:rPr>
          <w:rFonts w:asciiTheme="minorHAnsi" w:hAnsiTheme="minorHAnsi" w:cstheme="minorHAnsi"/>
          <w:b/>
          <w:bCs/>
          <w:u w:val="single"/>
        </w:rPr>
      </w:pPr>
      <w:r w:rsidRPr="007875D6">
        <w:rPr>
          <w:rFonts w:asciiTheme="minorHAnsi" w:hAnsiTheme="minorHAnsi" w:cstheme="minorHAnsi"/>
          <w:b/>
          <w:bCs/>
          <w:u w:val="single"/>
        </w:rPr>
        <w:t>Specific Responses and Departmental Verifications:</w:t>
      </w:r>
    </w:p>
    <w:p w14:paraId="06DADF41" w14:textId="77777777" w:rsidR="007875D6" w:rsidRDefault="007875D6" w:rsidP="007875D6">
      <w:pPr>
        <w:jc w:val="center"/>
        <w:rPr>
          <w:rFonts w:asciiTheme="minorHAnsi" w:hAnsiTheme="minorHAnsi" w:cstheme="minorHAnsi"/>
        </w:rPr>
      </w:pPr>
    </w:p>
    <w:p w14:paraId="15B368ED" w14:textId="77777777" w:rsidR="007875D6" w:rsidRDefault="007875D6" w:rsidP="007875D6">
      <w:pPr>
        <w:rPr>
          <w:rFonts w:asciiTheme="minorHAnsi" w:hAnsiTheme="minorHAnsi" w:cstheme="minorHAnsi"/>
        </w:rPr>
      </w:pPr>
      <w:r w:rsidRPr="006D49DB">
        <w:rPr>
          <w:rFonts w:asciiTheme="minorHAnsi" w:hAnsiTheme="minorHAnsi" w:cstheme="minorHAnsi"/>
        </w:rPr>
        <w:t xml:space="preserve">Consistent with Part 1.G.3.b.(10) of the </w:t>
      </w:r>
      <w:r>
        <w:rPr>
          <w:rFonts w:asciiTheme="minorHAnsi" w:hAnsiTheme="minorHAnsi" w:cstheme="minorHAnsi"/>
        </w:rPr>
        <w:t>2024 State Budget, DMS is submitting this required Medicaid Prescription Benefits Reporting:</w:t>
      </w:r>
    </w:p>
    <w:p w14:paraId="50E6E574" w14:textId="1FFC4143" w:rsidR="001B5034" w:rsidRDefault="007875D6" w:rsidP="007875D6">
      <w:pPr>
        <w:rPr>
          <w:rFonts w:asciiTheme="minorHAnsi" w:hAnsiTheme="minorHAnsi" w:cstheme="minorHAnsi"/>
        </w:rPr>
      </w:pPr>
      <w:r>
        <w:rPr>
          <w:rFonts w:asciiTheme="minorHAnsi" w:hAnsiTheme="minorHAnsi" w:cstheme="minorHAnsi"/>
        </w:rPr>
        <w:tab/>
        <w:t>(10)(a) and (b) demonstrate the total Medicaid dollars paid to the state pharmacy benefit manager</w:t>
      </w:r>
      <w:r w:rsidR="000873F2">
        <w:rPr>
          <w:rFonts w:asciiTheme="minorHAnsi" w:hAnsiTheme="minorHAnsi" w:cstheme="minorHAnsi"/>
        </w:rPr>
        <w:t xml:space="preserve"> (SPBM)</w:t>
      </w:r>
      <w:r>
        <w:rPr>
          <w:rFonts w:asciiTheme="minorHAnsi" w:hAnsiTheme="minorHAnsi" w:cstheme="minorHAnsi"/>
        </w:rPr>
        <w:t>, and the total amount of Medicaid dollars paid to the state pharmacy benefit man</w:t>
      </w:r>
      <w:r w:rsidR="000873F2">
        <w:rPr>
          <w:rFonts w:asciiTheme="minorHAnsi" w:hAnsiTheme="minorHAnsi" w:cstheme="minorHAnsi"/>
        </w:rPr>
        <w:t>a</w:t>
      </w:r>
      <w:r>
        <w:rPr>
          <w:rFonts w:asciiTheme="minorHAnsi" w:hAnsiTheme="minorHAnsi" w:cstheme="minorHAnsi"/>
        </w:rPr>
        <w:t>ger by a managed care organization which were not subsequently paid to a pharmacy licensed in Kentucky:</w:t>
      </w:r>
    </w:p>
    <w:p w14:paraId="044A9F70" w14:textId="77777777" w:rsidR="00B0325E" w:rsidRDefault="00B0325E" w:rsidP="007875D6">
      <w:pPr>
        <w:rPr>
          <w:rFonts w:asciiTheme="minorHAnsi" w:hAnsiTheme="minorHAnsi" w:cstheme="minorHAnsi"/>
        </w:rPr>
      </w:pPr>
    </w:p>
    <w:tbl>
      <w:tblPr>
        <w:tblW w:w="9720" w:type="dxa"/>
        <w:tblInd w:w="540" w:type="dxa"/>
        <w:tblCellMar>
          <w:left w:w="0" w:type="dxa"/>
          <w:right w:w="0" w:type="dxa"/>
        </w:tblCellMar>
        <w:tblLook w:val="04A0" w:firstRow="1" w:lastRow="0" w:firstColumn="1" w:lastColumn="0" w:noHBand="0" w:noVBand="1"/>
      </w:tblPr>
      <w:tblGrid>
        <w:gridCol w:w="2643"/>
        <w:gridCol w:w="2102"/>
        <w:gridCol w:w="2462"/>
        <w:gridCol w:w="2513"/>
      </w:tblGrid>
      <w:tr w:rsidR="001B5034" w:rsidRPr="001B5034" w14:paraId="150076F3" w14:textId="77777777" w:rsidTr="002F4235">
        <w:trPr>
          <w:trHeight w:val="430"/>
        </w:trPr>
        <w:tc>
          <w:tcPr>
            <w:tcW w:w="9720" w:type="dxa"/>
            <w:gridSpan w:val="4"/>
            <w:tcBorders>
              <w:top w:val="double" w:sz="6" w:space="0" w:color="auto"/>
              <w:left w:val="nil"/>
              <w:bottom w:val="nil"/>
              <w:right w:val="nil"/>
            </w:tcBorders>
            <w:shd w:val="clear" w:color="auto" w:fill="0070C0"/>
            <w:noWrap/>
            <w:tcMar>
              <w:top w:w="0" w:type="dxa"/>
              <w:left w:w="108" w:type="dxa"/>
              <w:bottom w:w="0" w:type="dxa"/>
              <w:right w:w="108" w:type="dxa"/>
            </w:tcMar>
            <w:vAlign w:val="center"/>
            <w:hideMark/>
          </w:tcPr>
          <w:p w14:paraId="0612A995" w14:textId="77777777" w:rsidR="001B5034" w:rsidRPr="00B0325E" w:rsidRDefault="001B5034">
            <w:pPr>
              <w:jc w:val="center"/>
              <w:rPr>
                <w:rFonts w:asciiTheme="minorHAnsi" w:hAnsiTheme="minorHAnsi" w:cstheme="minorHAnsi"/>
                <w:b/>
                <w:bCs/>
                <w:color w:val="FFFFFF"/>
                <w:sz w:val="28"/>
                <w:szCs w:val="28"/>
              </w:rPr>
            </w:pPr>
            <w:r w:rsidRPr="00B0325E">
              <w:rPr>
                <w:rFonts w:asciiTheme="minorHAnsi" w:hAnsiTheme="minorHAnsi" w:cstheme="minorHAnsi"/>
                <w:b/>
                <w:bCs/>
                <w:color w:val="FFFFFF"/>
                <w:sz w:val="28"/>
                <w:szCs w:val="28"/>
              </w:rPr>
              <w:t>Breakdown of Spread by MCO</w:t>
            </w:r>
          </w:p>
        </w:tc>
      </w:tr>
      <w:tr w:rsidR="001B5034" w14:paraId="51FC6597" w14:textId="77777777" w:rsidTr="002F4235">
        <w:trPr>
          <w:trHeight w:val="290"/>
        </w:trPr>
        <w:tc>
          <w:tcPr>
            <w:tcW w:w="2643" w:type="dxa"/>
            <w:tcBorders>
              <w:top w:val="nil"/>
              <w:left w:val="nil"/>
              <w:bottom w:val="single" w:sz="8" w:space="0" w:color="9BC2E6"/>
              <w:right w:val="nil"/>
            </w:tcBorders>
            <w:shd w:val="clear" w:color="auto" w:fill="DDEBF7"/>
            <w:noWrap/>
            <w:tcMar>
              <w:top w:w="0" w:type="dxa"/>
              <w:left w:w="108" w:type="dxa"/>
              <w:bottom w:w="0" w:type="dxa"/>
              <w:right w:w="108" w:type="dxa"/>
            </w:tcMar>
            <w:vAlign w:val="bottom"/>
            <w:hideMark/>
          </w:tcPr>
          <w:p w14:paraId="4DDFF622" w14:textId="77777777" w:rsidR="001B5034" w:rsidRPr="001B5034" w:rsidRDefault="001B5034">
            <w:pPr>
              <w:rPr>
                <w:rFonts w:asciiTheme="minorHAnsi" w:hAnsiTheme="minorHAnsi" w:cstheme="minorHAnsi"/>
                <w:b/>
                <w:bCs/>
                <w:color w:val="000000"/>
                <w:szCs w:val="22"/>
              </w:rPr>
            </w:pPr>
            <w:r w:rsidRPr="001B5034">
              <w:rPr>
                <w:rFonts w:asciiTheme="minorHAnsi" w:hAnsiTheme="minorHAnsi" w:cstheme="minorHAnsi"/>
                <w:b/>
                <w:bCs/>
                <w:color w:val="000000"/>
              </w:rPr>
              <w:t>MCO</w:t>
            </w:r>
          </w:p>
        </w:tc>
        <w:tc>
          <w:tcPr>
            <w:tcW w:w="2102" w:type="dxa"/>
            <w:tcBorders>
              <w:top w:val="nil"/>
              <w:left w:val="nil"/>
              <w:bottom w:val="single" w:sz="8" w:space="0" w:color="9BC2E6"/>
              <w:right w:val="nil"/>
            </w:tcBorders>
            <w:shd w:val="clear" w:color="auto" w:fill="DDEBF7"/>
            <w:noWrap/>
            <w:tcMar>
              <w:top w:w="0" w:type="dxa"/>
              <w:left w:w="108" w:type="dxa"/>
              <w:bottom w:w="0" w:type="dxa"/>
              <w:right w:w="108" w:type="dxa"/>
            </w:tcMar>
            <w:vAlign w:val="bottom"/>
            <w:hideMark/>
          </w:tcPr>
          <w:p w14:paraId="23F2567D" w14:textId="595DCD8F" w:rsidR="001B5034" w:rsidRPr="001B5034" w:rsidRDefault="001B5034">
            <w:pPr>
              <w:rPr>
                <w:rFonts w:asciiTheme="minorHAnsi" w:hAnsiTheme="minorHAnsi" w:cstheme="minorHAnsi"/>
                <w:b/>
                <w:bCs/>
                <w:color w:val="000000"/>
              </w:rPr>
            </w:pPr>
            <w:r w:rsidRPr="001B5034">
              <w:rPr>
                <w:rFonts w:asciiTheme="minorHAnsi" w:hAnsiTheme="minorHAnsi" w:cstheme="minorHAnsi"/>
                <w:b/>
                <w:bCs/>
                <w:color w:val="000000"/>
              </w:rPr>
              <w:t>Sum of Paid Amount</w:t>
            </w:r>
            <w:r w:rsidR="00480CFD">
              <w:rPr>
                <w:rFonts w:asciiTheme="minorHAnsi" w:hAnsiTheme="minorHAnsi" w:cstheme="minorHAnsi"/>
                <w:b/>
                <w:bCs/>
                <w:color w:val="000000"/>
              </w:rPr>
              <w:t xml:space="preserve"> to </w:t>
            </w:r>
            <w:r w:rsidR="000873F2">
              <w:rPr>
                <w:rFonts w:asciiTheme="minorHAnsi" w:hAnsiTheme="minorHAnsi" w:cstheme="minorHAnsi"/>
                <w:b/>
                <w:bCs/>
                <w:color w:val="000000"/>
              </w:rPr>
              <w:t>SPBM</w:t>
            </w:r>
          </w:p>
        </w:tc>
        <w:tc>
          <w:tcPr>
            <w:tcW w:w="2462" w:type="dxa"/>
            <w:tcBorders>
              <w:top w:val="nil"/>
              <w:left w:val="nil"/>
              <w:bottom w:val="single" w:sz="8" w:space="0" w:color="9BC2E6"/>
              <w:right w:val="nil"/>
            </w:tcBorders>
            <w:shd w:val="clear" w:color="auto" w:fill="DDEBF7"/>
            <w:noWrap/>
            <w:tcMar>
              <w:top w:w="0" w:type="dxa"/>
              <w:left w:w="108" w:type="dxa"/>
              <w:bottom w:w="0" w:type="dxa"/>
              <w:right w:w="108" w:type="dxa"/>
            </w:tcMar>
            <w:vAlign w:val="bottom"/>
            <w:hideMark/>
          </w:tcPr>
          <w:p w14:paraId="22ECAE9D" w14:textId="44BB9C17" w:rsidR="001B5034" w:rsidRPr="001B5034" w:rsidRDefault="001B5034">
            <w:pPr>
              <w:rPr>
                <w:rFonts w:asciiTheme="minorHAnsi" w:hAnsiTheme="minorHAnsi" w:cstheme="minorHAnsi"/>
                <w:b/>
                <w:bCs/>
                <w:color w:val="000000"/>
              </w:rPr>
            </w:pPr>
            <w:r w:rsidRPr="001B5034">
              <w:rPr>
                <w:rFonts w:asciiTheme="minorHAnsi" w:hAnsiTheme="minorHAnsi" w:cstheme="minorHAnsi"/>
                <w:b/>
                <w:bCs/>
                <w:color w:val="000000"/>
              </w:rPr>
              <w:t>Sum of Paid Amount</w:t>
            </w:r>
            <w:r w:rsidR="00480CFD">
              <w:rPr>
                <w:rFonts w:asciiTheme="minorHAnsi" w:hAnsiTheme="minorHAnsi" w:cstheme="minorHAnsi"/>
                <w:b/>
                <w:bCs/>
                <w:color w:val="000000"/>
              </w:rPr>
              <w:t xml:space="preserve"> by </w:t>
            </w:r>
            <w:r w:rsidR="000873F2">
              <w:rPr>
                <w:rFonts w:asciiTheme="minorHAnsi" w:hAnsiTheme="minorHAnsi" w:cstheme="minorHAnsi"/>
                <w:b/>
                <w:bCs/>
                <w:color w:val="000000"/>
              </w:rPr>
              <w:t>SBPM</w:t>
            </w:r>
          </w:p>
        </w:tc>
        <w:tc>
          <w:tcPr>
            <w:tcW w:w="2513" w:type="dxa"/>
            <w:tcBorders>
              <w:top w:val="nil"/>
              <w:left w:val="nil"/>
              <w:bottom w:val="single" w:sz="8" w:space="0" w:color="9BC2E6"/>
              <w:right w:val="nil"/>
            </w:tcBorders>
            <w:shd w:val="clear" w:color="auto" w:fill="DDEBF7"/>
            <w:noWrap/>
            <w:tcMar>
              <w:top w:w="0" w:type="dxa"/>
              <w:left w:w="108" w:type="dxa"/>
              <w:bottom w:w="0" w:type="dxa"/>
              <w:right w:w="108" w:type="dxa"/>
            </w:tcMar>
            <w:vAlign w:val="bottom"/>
            <w:hideMark/>
          </w:tcPr>
          <w:p w14:paraId="6CF36F29" w14:textId="77777777" w:rsidR="001B5034" w:rsidRPr="001B5034" w:rsidRDefault="001B5034">
            <w:pPr>
              <w:rPr>
                <w:rFonts w:asciiTheme="minorHAnsi" w:hAnsiTheme="minorHAnsi" w:cstheme="minorHAnsi"/>
                <w:b/>
                <w:bCs/>
                <w:color w:val="000000"/>
              </w:rPr>
            </w:pPr>
            <w:r w:rsidRPr="001B5034">
              <w:rPr>
                <w:rFonts w:asciiTheme="minorHAnsi" w:hAnsiTheme="minorHAnsi" w:cstheme="minorHAnsi"/>
                <w:b/>
                <w:bCs/>
                <w:color w:val="000000"/>
              </w:rPr>
              <w:t>Sum of Spread</w:t>
            </w:r>
          </w:p>
        </w:tc>
      </w:tr>
      <w:tr w:rsidR="002F4235" w14:paraId="4B9CF242" w14:textId="77777777" w:rsidTr="002F4235">
        <w:trPr>
          <w:trHeight w:val="290"/>
        </w:trPr>
        <w:tc>
          <w:tcPr>
            <w:tcW w:w="2643" w:type="dxa"/>
            <w:noWrap/>
            <w:tcMar>
              <w:top w:w="0" w:type="dxa"/>
              <w:left w:w="108" w:type="dxa"/>
              <w:bottom w:w="0" w:type="dxa"/>
              <w:right w:w="108" w:type="dxa"/>
            </w:tcMar>
            <w:hideMark/>
          </w:tcPr>
          <w:p w14:paraId="5AD228B2" w14:textId="0D710033" w:rsidR="002F4235" w:rsidRPr="00B0325E" w:rsidRDefault="00B0325E" w:rsidP="002F4235">
            <w:pPr>
              <w:rPr>
                <w:rFonts w:asciiTheme="minorHAnsi" w:hAnsiTheme="minorHAnsi" w:cstheme="minorHAnsi"/>
                <w:color w:val="000000"/>
                <w:szCs w:val="22"/>
              </w:rPr>
            </w:pPr>
            <w:r>
              <w:rPr>
                <w:rFonts w:asciiTheme="minorHAnsi" w:eastAsiaTheme="minorHAnsi" w:hAnsiTheme="minorHAnsi" w:cstheme="minorHAnsi"/>
                <w:color w:val="000000"/>
                <w:szCs w:val="22"/>
              </w:rPr>
              <w:t>Aetna – KY</w:t>
            </w:r>
          </w:p>
        </w:tc>
        <w:tc>
          <w:tcPr>
            <w:tcW w:w="2102" w:type="dxa"/>
            <w:noWrap/>
            <w:tcMar>
              <w:top w:w="0" w:type="dxa"/>
              <w:left w:w="108" w:type="dxa"/>
              <w:bottom w:w="0" w:type="dxa"/>
              <w:right w:w="108" w:type="dxa"/>
            </w:tcMar>
          </w:tcPr>
          <w:p w14:paraId="4B702282" w14:textId="75D72DE6" w:rsidR="002F4235" w:rsidRPr="00B0325E" w:rsidRDefault="002F4235" w:rsidP="002F4235">
            <w:pPr>
              <w:rPr>
                <w:rFonts w:asciiTheme="minorHAnsi" w:hAnsiTheme="minorHAnsi" w:cstheme="minorHAnsi"/>
                <w:color w:val="000000"/>
                <w:szCs w:val="22"/>
              </w:rPr>
            </w:pPr>
            <w:r w:rsidRPr="00B0325E">
              <w:rPr>
                <w:rFonts w:asciiTheme="minorHAnsi" w:eastAsiaTheme="minorHAnsi" w:hAnsiTheme="minorHAnsi" w:cstheme="minorHAnsi"/>
                <w:color w:val="000000"/>
                <w:szCs w:val="22"/>
              </w:rPr>
              <w:t>$449,029,565.25</w:t>
            </w:r>
          </w:p>
        </w:tc>
        <w:tc>
          <w:tcPr>
            <w:tcW w:w="2462" w:type="dxa"/>
            <w:noWrap/>
            <w:tcMar>
              <w:top w:w="0" w:type="dxa"/>
              <w:left w:w="108" w:type="dxa"/>
              <w:bottom w:w="0" w:type="dxa"/>
              <w:right w:w="108" w:type="dxa"/>
            </w:tcMar>
          </w:tcPr>
          <w:p w14:paraId="27E8BA02" w14:textId="5B08BA21" w:rsidR="002F4235" w:rsidRPr="00B0325E" w:rsidRDefault="002F4235" w:rsidP="002F4235">
            <w:pPr>
              <w:rPr>
                <w:rFonts w:asciiTheme="minorHAnsi" w:hAnsiTheme="minorHAnsi" w:cstheme="minorHAnsi"/>
                <w:color w:val="000000"/>
                <w:szCs w:val="22"/>
              </w:rPr>
            </w:pPr>
            <w:r w:rsidRPr="00B0325E">
              <w:rPr>
                <w:rFonts w:asciiTheme="minorHAnsi" w:eastAsiaTheme="minorHAnsi" w:hAnsiTheme="minorHAnsi" w:cstheme="minorHAnsi"/>
                <w:color w:val="000000"/>
                <w:szCs w:val="22"/>
              </w:rPr>
              <w:t>$449,029,565.25</w:t>
            </w:r>
          </w:p>
        </w:tc>
        <w:tc>
          <w:tcPr>
            <w:tcW w:w="2513" w:type="dxa"/>
            <w:noWrap/>
            <w:tcMar>
              <w:top w:w="0" w:type="dxa"/>
              <w:left w:w="108" w:type="dxa"/>
              <w:bottom w:w="0" w:type="dxa"/>
              <w:right w:w="108" w:type="dxa"/>
            </w:tcMar>
          </w:tcPr>
          <w:p w14:paraId="26349DF8" w14:textId="78D95B47" w:rsidR="002F4235" w:rsidRPr="00B0325E" w:rsidRDefault="002F4235" w:rsidP="002F4235">
            <w:pPr>
              <w:rPr>
                <w:rFonts w:asciiTheme="minorHAnsi" w:hAnsiTheme="minorHAnsi" w:cstheme="minorHAnsi"/>
                <w:color w:val="000000"/>
                <w:szCs w:val="22"/>
              </w:rPr>
            </w:pPr>
            <w:r w:rsidRPr="00B0325E">
              <w:rPr>
                <w:rFonts w:asciiTheme="minorHAnsi" w:eastAsiaTheme="minorHAnsi" w:hAnsiTheme="minorHAnsi" w:cstheme="minorHAnsi"/>
                <w:color w:val="000000"/>
                <w:szCs w:val="22"/>
              </w:rPr>
              <w:t>$0.00</w:t>
            </w:r>
          </w:p>
        </w:tc>
      </w:tr>
      <w:tr w:rsidR="00B0325E" w14:paraId="7E7D6792" w14:textId="77777777" w:rsidTr="00353436">
        <w:trPr>
          <w:trHeight w:val="290"/>
        </w:trPr>
        <w:tc>
          <w:tcPr>
            <w:tcW w:w="2643" w:type="dxa"/>
            <w:noWrap/>
            <w:tcMar>
              <w:top w:w="0" w:type="dxa"/>
              <w:left w:w="108" w:type="dxa"/>
              <w:bottom w:w="0" w:type="dxa"/>
              <w:right w:w="108" w:type="dxa"/>
            </w:tcMar>
            <w:hideMark/>
          </w:tcPr>
          <w:p w14:paraId="5F06AC89" w14:textId="48D1EB72" w:rsidR="00B0325E" w:rsidRPr="00B0325E" w:rsidRDefault="00B0325E" w:rsidP="00B0325E">
            <w:pPr>
              <w:rPr>
                <w:rFonts w:asciiTheme="minorHAnsi" w:hAnsiTheme="minorHAnsi" w:cstheme="minorHAnsi"/>
                <w:color w:val="000000"/>
                <w:szCs w:val="22"/>
              </w:rPr>
            </w:pPr>
            <w:r w:rsidRPr="00B0325E">
              <w:rPr>
                <w:rFonts w:asciiTheme="minorHAnsi" w:eastAsiaTheme="minorHAnsi" w:hAnsiTheme="minorHAnsi" w:cstheme="minorHAnsi"/>
                <w:color w:val="000000"/>
                <w:szCs w:val="22"/>
              </w:rPr>
              <w:t>A</w:t>
            </w:r>
            <w:r>
              <w:rPr>
                <w:rFonts w:asciiTheme="minorHAnsi" w:eastAsiaTheme="minorHAnsi" w:hAnsiTheme="minorHAnsi" w:cstheme="minorHAnsi"/>
                <w:color w:val="000000"/>
                <w:szCs w:val="22"/>
              </w:rPr>
              <w:t>nthem – KY</w:t>
            </w:r>
          </w:p>
        </w:tc>
        <w:tc>
          <w:tcPr>
            <w:tcW w:w="2102" w:type="dxa"/>
            <w:noWrap/>
            <w:tcMar>
              <w:top w:w="0" w:type="dxa"/>
              <w:left w:w="108" w:type="dxa"/>
              <w:bottom w:w="0" w:type="dxa"/>
              <w:right w:w="108" w:type="dxa"/>
            </w:tcMar>
          </w:tcPr>
          <w:p w14:paraId="1E15E674" w14:textId="177B2D5C" w:rsidR="00B0325E" w:rsidRPr="00B0325E" w:rsidRDefault="00B0325E" w:rsidP="00B0325E">
            <w:pPr>
              <w:rPr>
                <w:rFonts w:asciiTheme="minorHAnsi" w:hAnsiTheme="minorHAnsi" w:cstheme="minorHAnsi"/>
                <w:color w:val="000000"/>
                <w:szCs w:val="22"/>
              </w:rPr>
            </w:pPr>
            <w:r w:rsidRPr="00B0325E">
              <w:rPr>
                <w:rFonts w:asciiTheme="minorHAnsi" w:eastAsiaTheme="minorHAnsi" w:hAnsiTheme="minorHAnsi" w:cstheme="minorHAnsi"/>
                <w:color w:val="000000"/>
                <w:szCs w:val="22"/>
              </w:rPr>
              <w:t>$399,228,757.27</w:t>
            </w:r>
          </w:p>
        </w:tc>
        <w:tc>
          <w:tcPr>
            <w:tcW w:w="2462" w:type="dxa"/>
            <w:noWrap/>
            <w:tcMar>
              <w:top w:w="0" w:type="dxa"/>
              <w:left w:w="108" w:type="dxa"/>
              <w:bottom w:w="0" w:type="dxa"/>
              <w:right w:w="108" w:type="dxa"/>
            </w:tcMar>
          </w:tcPr>
          <w:p w14:paraId="4936AC15" w14:textId="6B87E854" w:rsidR="00B0325E" w:rsidRPr="00B0325E" w:rsidRDefault="00B0325E" w:rsidP="00B0325E">
            <w:pPr>
              <w:rPr>
                <w:rFonts w:asciiTheme="minorHAnsi" w:hAnsiTheme="minorHAnsi" w:cstheme="minorHAnsi"/>
                <w:color w:val="000000"/>
                <w:szCs w:val="22"/>
              </w:rPr>
            </w:pPr>
            <w:r w:rsidRPr="00B0325E">
              <w:rPr>
                <w:rFonts w:asciiTheme="minorHAnsi" w:eastAsiaTheme="minorHAnsi" w:hAnsiTheme="minorHAnsi" w:cstheme="minorHAnsi"/>
                <w:color w:val="000000"/>
                <w:szCs w:val="22"/>
              </w:rPr>
              <w:t>$399,228,757.27</w:t>
            </w:r>
          </w:p>
        </w:tc>
        <w:tc>
          <w:tcPr>
            <w:tcW w:w="2513" w:type="dxa"/>
            <w:noWrap/>
            <w:tcMar>
              <w:top w:w="0" w:type="dxa"/>
              <w:left w:w="108" w:type="dxa"/>
              <w:bottom w:w="0" w:type="dxa"/>
              <w:right w:w="108" w:type="dxa"/>
            </w:tcMar>
          </w:tcPr>
          <w:p w14:paraId="51748775" w14:textId="57E8CA69" w:rsidR="00B0325E" w:rsidRPr="00B0325E" w:rsidRDefault="00B0325E" w:rsidP="00B0325E">
            <w:pPr>
              <w:rPr>
                <w:rFonts w:asciiTheme="minorHAnsi" w:hAnsiTheme="minorHAnsi" w:cstheme="minorHAnsi"/>
                <w:color w:val="000000"/>
                <w:szCs w:val="22"/>
              </w:rPr>
            </w:pPr>
            <w:r w:rsidRPr="00B0325E">
              <w:rPr>
                <w:rFonts w:asciiTheme="minorHAnsi" w:eastAsiaTheme="minorHAnsi" w:hAnsiTheme="minorHAnsi" w:cstheme="minorHAnsi"/>
                <w:color w:val="000000"/>
                <w:szCs w:val="22"/>
              </w:rPr>
              <w:t>$0.00</w:t>
            </w:r>
          </w:p>
        </w:tc>
      </w:tr>
      <w:tr w:rsidR="00B0325E" w14:paraId="7A20FFE1" w14:textId="77777777" w:rsidTr="00612500">
        <w:trPr>
          <w:trHeight w:val="290"/>
        </w:trPr>
        <w:tc>
          <w:tcPr>
            <w:tcW w:w="2643" w:type="dxa"/>
            <w:noWrap/>
            <w:tcMar>
              <w:top w:w="0" w:type="dxa"/>
              <w:left w:w="108" w:type="dxa"/>
              <w:bottom w:w="0" w:type="dxa"/>
              <w:right w:w="108" w:type="dxa"/>
            </w:tcMar>
            <w:vAlign w:val="bottom"/>
            <w:hideMark/>
          </w:tcPr>
          <w:p w14:paraId="2BFB449A" w14:textId="6A83284B" w:rsidR="00B0325E" w:rsidRPr="001B5034" w:rsidRDefault="00B0325E" w:rsidP="00B0325E">
            <w:pPr>
              <w:rPr>
                <w:rFonts w:asciiTheme="minorHAnsi" w:hAnsiTheme="minorHAnsi" w:cstheme="minorHAnsi"/>
                <w:color w:val="000000"/>
              </w:rPr>
            </w:pPr>
            <w:r w:rsidRPr="001B5034">
              <w:rPr>
                <w:rFonts w:asciiTheme="minorHAnsi" w:hAnsiTheme="minorHAnsi" w:cstheme="minorHAnsi"/>
                <w:color w:val="000000"/>
              </w:rPr>
              <w:t>Humana</w:t>
            </w:r>
            <w:r>
              <w:rPr>
                <w:rFonts w:asciiTheme="minorHAnsi" w:hAnsiTheme="minorHAnsi" w:cstheme="minorHAnsi"/>
                <w:color w:val="000000"/>
              </w:rPr>
              <w:t xml:space="preserve"> – KY</w:t>
            </w:r>
          </w:p>
        </w:tc>
        <w:tc>
          <w:tcPr>
            <w:tcW w:w="2102" w:type="dxa"/>
            <w:noWrap/>
            <w:tcMar>
              <w:top w:w="0" w:type="dxa"/>
              <w:left w:w="108" w:type="dxa"/>
              <w:bottom w:w="0" w:type="dxa"/>
              <w:right w:w="108" w:type="dxa"/>
            </w:tcMar>
          </w:tcPr>
          <w:p w14:paraId="61838576" w14:textId="2E111F8A" w:rsidR="00B0325E" w:rsidRPr="00B0325E" w:rsidRDefault="00B0325E" w:rsidP="00B0325E">
            <w:pPr>
              <w:rPr>
                <w:rFonts w:asciiTheme="minorHAnsi" w:hAnsiTheme="minorHAnsi" w:cstheme="minorHAnsi"/>
                <w:color w:val="000000"/>
              </w:rPr>
            </w:pPr>
            <w:r w:rsidRPr="00B0325E">
              <w:rPr>
                <w:rFonts w:asciiTheme="minorHAnsi" w:hAnsiTheme="minorHAnsi" w:cstheme="minorHAnsi"/>
              </w:rPr>
              <w:t>$379,733,680.81</w:t>
            </w:r>
          </w:p>
        </w:tc>
        <w:tc>
          <w:tcPr>
            <w:tcW w:w="2462" w:type="dxa"/>
            <w:noWrap/>
            <w:tcMar>
              <w:top w:w="0" w:type="dxa"/>
              <w:left w:w="108" w:type="dxa"/>
              <w:bottom w:w="0" w:type="dxa"/>
              <w:right w:w="108" w:type="dxa"/>
            </w:tcMar>
          </w:tcPr>
          <w:p w14:paraId="0DA3DE94" w14:textId="61F3AEDF" w:rsidR="00B0325E" w:rsidRPr="00B0325E" w:rsidRDefault="00B0325E" w:rsidP="00B0325E">
            <w:pPr>
              <w:rPr>
                <w:rFonts w:asciiTheme="minorHAnsi" w:hAnsiTheme="minorHAnsi" w:cstheme="minorHAnsi"/>
                <w:color w:val="000000"/>
              </w:rPr>
            </w:pPr>
            <w:r w:rsidRPr="00B0325E">
              <w:rPr>
                <w:rFonts w:asciiTheme="minorHAnsi" w:hAnsiTheme="minorHAnsi" w:cstheme="minorHAnsi"/>
              </w:rPr>
              <w:t>$379,733,680.81</w:t>
            </w:r>
          </w:p>
        </w:tc>
        <w:tc>
          <w:tcPr>
            <w:tcW w:w="2513" w:type="dxa"/>
            <w:noWrap/>
            <w:tcMar>
              <w:top w:w="0" w:type="dxa"/>
              <w:left w:w="108" w:type="dxa"/>
              <w:bottom w:w="0" w:type="dxa"/>
              <w:right w:w="108" w:type="dxa"/>
            </w:tcMar>
          </w:tcPr>
          <w:p w14:paraId="629E9E05" w14:textId="5C8894A0" w:rsidR="00B0325E" w:rsidRPr="00B0325E" w:rsidRDefault="00B0325E" w:rsidP="00B0325E">
            <w:pPr>
              <w:rPr>
                <w:rFonts w:asciiTheme="minorHAnsi" w:hAnsiTheme="minorHAnsi" w:cstheme="minorHAnsi"/>
                <w:color w:val="000000"/>
              </w:rPr>
            </w:pPr>
            <w:r w:rsidRPr="00B0325E">
              <w:rPr>
                <w:rFonts w:asciiTheme="minorHAnsi" w:hAnsiTheme="minorHAnsi" w:cstheme="minorHAnsi"/>
              </w:rPr>
              <w:t>$0.00</w:t>
            </w:r>
          </w:p>
        </w:tc>
      </w:tr>
      <w:tr w:rsidR="00B0325E" w14:paraId="72571C75" w14:textId="77777777" w:rsidTr="00A13264">
        <w:trPr>
          <w:trHeight w:val="290"/>
        </w:trPr>
        <w:tc>
          <w:tcPr>
            <w:tcW w:w="2643" w:type="dxa"/>
            <w:noWrap/>
            <w:tcMar>
              <w:top w:w="0" w:type="dxa"/>
              <w:left w:w="108" w:type="dxa"/>
              <w:bottom w:w="0" w:type="dxa"/>
              <w:right w:w="108" w:type="dxa"/>
            </w:tcMar>
            <w:vAlign w:val="bottom"/>
            <w:hideMark/>
          </w:tcPr>
          <w:p w14:paraId="5F054150" w14:textId="6F7DFAF8" w:rsidR="00B0325E" w:rsidRPr="001B5034" w:rsidRDefault="00B0325E" w:rsidP="00B0325E">
            <w:pPr>
              <w:rPr>
                <w:rFonts w:asciiTheme="minorHAnsi" w:hAnsiTheme="minorHAnsi" w:cstheme="minorHAnsi"/>
                <w:color w:val="000000"/>
              </w:rPr>
            </w:pPr>
            <w:r w:rsidRPr="001B5034">
              <w:rPr>
                <w:rFonts w:asciiTheme="minorHAnsi" w:hAnsiTheme="minorHAnsi" w:cstheme="minorHAnsi"/>
                <w:color w:val="000000"/>
              </w:rPr>
              <w:t>Passport Molina</w:t>
            </w:r>
            <w:r>
              <w:rPr>
                <w:rFonts w:asciiTheme="minorHAnsi" w:hAnsiTheme="minorHAnsi" w:cstheme="minorHAnsi"/>
                <w:color w:val="000000"/>
              </w:rPr>
              <w:t xml:space="preserve"> – KY</w:t>
            </w:r>
          </w:p>
        </w:tc>
        <w:tc>
          <w:tcPr>
            <w:tcW w:w="2102" w:type="dxa"/>
            <w:noWrap/>
            <w:tcMar>
              <w:top w:w="0" w:type="dxa"/>
              <w:left w:w="108" w:type="dxa"/>
              <w:bottom w:w="0" w:type="dxa"/>
              <w:right w:w="108" w:type="dxa"/>
            </w:tcMar>
          </w:tcPr>
          <w:p w14:paraId="67A78D86" w14:textId="6AD8EC06" w:rsidR="00B0325E" w:rsidRPr="00B0325E" w:rsidRDefault="00B0325E" w:rsidP="00B0325E">
            <w:pPr>
              <w:rPr>
                <w:rFonts w:asciiTheme="minorHAnsi" w:hAnsiTheme="minorHAnsi" w:cstheme="minorHAnsi"/>
                <w:color w:val="000000"/>
              </w:rPr>
            </w:pPr>
            <w:r w:rsidRPr="00B0325E">
              <w:rPr>
                <w:rFonts w:asciiTheme="minorHAnsi" w:hAnsiTheme="minorHAnsi" w:cstheme="minorHAnsi"/>
              </w:rPr>
              <w:t>$585,261,297.58</w:t>
            </w:r>
          </w:p>
        </w:tc>
        <w:tc>
          <w:tcPr>
            <w:tcW w:w="2462" w:type="dxa"/>
            <w:noWrap/>
            <w:tcMar>
              <w:top w:w="0" w:type="dxa"/>
              <w:left w:w="108" w:type="dxa"/>
              <w:bottom w:w="0" w:type="dxa"/>
              <w:right w:w="108" w:type="dxa"/>
            </w:tcMar>
          </w:tcPr>
          <w:p w14:paraId="21ED4A5D" w14:textId="1EE394D3" w:rsidR="00B0325E" w:rsidRPr="00B0325E" w:rsidRDefault="00B0325E" w:rsidP="00B0325E">
            <w:pPr>
              <w:rPr>
                <w:rFonts w:asciiTheme="minorHAnsi" w:hAnsiTheme="minorHAnsi" w:cstheme="minorHAnsi"/>
                <w:color w:val="000000"/>
              </w:rPr>
            </w:pPr>
            <w:r w:rsidRPr="00B0325E">
              <w:rPr>
                <w:rFonts w:asciiTheme="minorHAnsi" w:hAnsiTheme="minorHAnsi" w:cstheme="minorHAnsi"/>
              </w:rPr>
              <w:t>$585,261,297.58</w:t>
            </w:r>
          </w:p>
        </w:tc>
        <w:tc>
          <w:tcPr>
            <w:tcW w:w="2513" w:type="dxa"/>
            <w:noWrap/>
            <w:tcMar>
              <w:top w:w="0" w:type="dxa"/>
              <w:left w:w="108" w:type="dxa"/>
              <w:bottom w:w="0" w:type="dxa"/>
              <w:right w:w="108" w:type="dxa"/>
            </w:tcMar>
          </w:tcPr>
          <w:p w14:paraId="274A8EDB" w14:textId="1BD112D5" w:rsidR="00B0325E" w:rsidRPr="00B0325E" w:rsidRDefault="00B0325E" w:rsidP="00B0325E">
            <w:pPr>
              <w:rPr>
                <w:rFonts w:asciiTheme="minorHAnsi" w:hAnsiTheme="minorHAnsi" w:cstheme="minorHAnsi"/>
                <w:color w:val="000000"/>
              </w:rPr>
            </w:pPr>
            <w:r w:rsidRPr="00B0325E">
              <w:rPr>
                <w:rFonts w:asciiTheme="minorHAnsi" w:hAnsiTheme="minorHAnsi" w:cstheme="minorHAnsi"/>
              </w:rPr>
              <w:t>$0.00</w:t>
            </w:r>
          </w:p>
        </w:tc>
      </w:tr>
      <w:tr w:rsidR="00B0325E" w14:paraId="3BDBDFC3" w14:textId="77777777" w:rsidTr="00DD2E60">
        <w:trPr>
          <w:trHeight w:val="290"/>
        </w:trPr>
        <w:tc>
          <w:tcPr>
            <w:tcW w:w="2643" w:type="dxa"/>
            <w:noWrap/>
            <w:tcMar>
              <w:top w:w="0" w:type="dxa"/>
              <w:left w:w="108" w:type="dxa"/>
              <w:bottom w:w="0" w:type="dxa"/>
              <w:right w:w="108" w:type="dxa"/>
            </w:tcMar>
            <w:vAlign w:val="bottom"/>
            <w:hideMark/>
          </w:tcPr>
          <w:p w14:paraId="12EB977D" w14:textId="18BAA2C7" w:rsidR="00B0325E" w:rsidRPr="001B5034" w:rsidRDefault="00B0325E" w:rsidP="00B0325E">
            <w:pPr>
              <w:rPr>
                <w:rFonts w:asciiTheme="minorHAnsi" w:hAnsiTheme="minorHAnsi" w:cstheme="minorHAnsi"/>
                <w:color w:val="000000"/>
              </w:rPr>
            </w:pPr>
            <w:r w:rsidRPr="001B5034">
              <w:rPr>
                <w:rFonts w:asciiTheme="minorHAnsi" w:hAnsiTheme="minorHAnsi" w:cstheme="minorHAnsi"/>
                <w:color w:val="000000"/>
              </w:rPr>
              <w:t>United</w:t>
            </w:r>
            <w:r>
              <w:rPr>
                <w:rFonts w:asciiTheme="minorHAnsi" w:hAnsiTheme="minorHAnsi" w:cstheme="minorHAnsi"/>
                <w:color w:val="000000"/>
              </w:rPr>
              <w:t xml:space="preserve"> – KY</w:t>
            </w:r>
          </w:p>
        </w:tc>
        <w:tc>
          <w:tcPr>
            <w:tcW w:w="2102" w:type="dxa"/>
            <w:noWrap/>
            <w:tcMar>
              <w:top w:w="0" w:type="dxa"/>
              <w:left w:w="108" w:type="dxa"/>
              <w:bottom w:w="0" w:type="dxa"/>
              <w:right w:w="108" w:type="dxa"/>
            </w:tcMar>
          </w:tcPr>
          <w:p w14:paraId="731F47EF" w14:textId="633F5A98" w:rsidR="00B0325E" w:rsidRPr="00B0325E" w:rsidRDefault="00B0325E" w:rsidP="00B0325E">
            <w:pPr>
              <w:rPr>
                <w:rFonts w:asciiTheme="minorHAnsi" w:hAnsiTheme="minorHAnsi" w:cstheme="minorHAnsi"/>
                <w:color w:val="000000"/>
                <w:szCs w:val="22"/>
              </w:rPr>
            </w:pPr>
            <w:r w:rsidRPr="00B0325E">
              <w:rPr>
                <w:rFonts w:asciiTheme="minorHAnsi" w:eastAsiaTheme="minorHAnsi" w:hAnsiTheme="minorHAnsi" w:cstheme="minorHAnsi"/>
                <w:color w:val="000000"/>
                <w:szCs w:val="22"/>
              </w:rPr>
              <w:t>$183,986,350.68</w:t>
            </w:r>
          </w:p>
        </w:tc>
        <w:tc>
          <w:tcPr>
            <w:tcW w:w="2462" w:type="dxa"/>
            <w:noWrap/>
            <w:tcMar>
              <w:top w:w="0" w:type="dxa"/>
              <w:left w:w="108" w:type="dxa"/>
              <w:bottom w:w="0" w:type="dxa"/>
              <w:right w:w="108" w:type="dxa"/>
            </w:tcMar>
          </w:tcPr>
          <w:p w14:paraId="12179E81" w14:textId="10836B7D" w:rsidR="00B0325E" w:rsidRPr="00B0325E" w:rsidRDefault="00B0325E" w:rsidP="00B0325E">
            <w:pPr>
              <w:rPr>
                <w:rFonts w:asciiTheme="minorHAnsi" w:hAnsiTheme="minorHAnsi" w:cstheme="minorHAnsi"/>
                <w:color w:val="000000"/>
                <w:szCs w:val="22"/>
              </w:rPr>
            </w:pPr>
            <w:r w:rsidRPr="00B0325E">
              <w:rPr>
                <w:rFonts w:asciiTheme="minorHAnsi" w:eastAsiaTheme="minorHAnsi" w:hAnsiTheme="minorHAnsi" w:cstheme="minorHAnsi"/>
                <w:color w:val="000000"/>
                <w:szCs w:val="22"/>
              </w:rPr>
              <w:t>$183,986,350.68</w:t>
            </w:r>
          </w:p>
        </w:tc>
        <w:tc>
          <w:tcPr>
            <w:tcW w:w="2513" w:type="dxa"/>
            <w:noWrap/>
            <w:tcMar>
              <w:top w:w="0" w:type="dxa"/>
              <w:left w:w="108" w:type="dxa"/>
              <w:bottom w:w="0" w:type="dxa"/>
              <w:right w:w="108" w:type="dxa"/>
            </w:tcMar>
          </w:tcPr>
          <w:p w14:paraId="2F2865F3" w14:textId="1CBF4DF7" w:rsidR="00B0325E" w:rsidRPr="00B0325E" w:rsidRDefault="00B0325E" w:rsidP="00B0325E">
            <w:pPr>
              <w:rPr>
                <w:rFonts w:asciiTheme="minorHAnsi" w:hAnsiTheme="minorHAnsi" w:cstheme="minorHAnsi"/>
                <w:color w:val="000000"/>
                <w:szCs w:val="22"/>
              </w:rPr>
            </w:pPr>
            <w:r w:rsidRPr="00B0325E">
              <w:rPr>
                <w:rFonts w:asciiTheme="minorHAnsi" w:eastAsiaTheme="minorHAnsi" w:hAnsiTheme="minorHAnsi" w:cstheme="minorHAnsi"/>
                <w:color w:val="000000"/>
                <w:szCs w:val="22"/>
              </w:rPr>
              <w:t>$0.00</w:t>
            </w:r>
          </w:p>
        </w:tc>
      </w:tr>
      <w:tr w:rsidR="00B0325E" w14:paraId="6E8E4D50" w14:textId="77777777" w:rsidTr="00EA5F42">
        <w:trPr>
          <w:trHeight w:val="290"/>
        </w:trPr>
        <w:tc>
          <w:tcPr>
            <w:tcW w:w="2643" w:type="dxa"/>
            <w:noWrap/>
            <w:tcMar>
              <w:top w:w="0" w:type="dxa"/>
              <w:left w:w="108" w:type="dxa"/>
              <w:bottom w:w="0" w:type="dxa"/>
              <w:right w:w="108" w:type="dxa"/>
            </w:tcMar>
            <w:vAlign w:val="bottom"/>
            <w:hideMark/>
          </w:tcPr>
          <w:p w14:paraId="7D24166D" w14:textId="33078A2D" w:rsidR="00B0325E" w:rsidRPr="001B5034" w:rsidRDefault="00B0325E" w:rsidP="00B0325E">
            <w:pPr>
              <w:rPr>
                <w:rFonts w:asciiTheme="minorHAnsi" w:hAnsiTheme="minorHAnsi" w:cstheme="minorHAnsi"/>
                <w:color w:val="000000"/>
              </w:rPr>
            </w:pPr>
            <w:proofErr w:type="spellStart"/>
            <w:r w:rsidRPr="001B5034">
              <w:rPr>
                <w:rFonts w:asciiTheme="minorHAnsi" w:hAnsiTheme="minorHAnsi" w:cstheme="minorHAnsi"/>
                <w:color w:val="000000"/>
              </w:rPr>
              <w:t>Wellcare</w:t>
            </w:r>
            <w:proofErr w:type="spellEnd"/>
            <w:r>
              <w:rPr>
                <w:rFonts w:asciiTheme="minorHAnsi" w:hAnsiTheme="minorHAnsi" w:cstheme="minorHAnsi"/>
                <w:color w:val="000000"/>
              </w:rPr>
              <w:t xml:space="preserve"> - KY</w:t>
            </w:r>
          </w:p>
        </w:tc>
        <w:tc>
          <w:tcPr>
            <w:tcW w:w="2102" w:type="dxa"/>
            <w:noWrap/>
            <w:tcMar>
              <w:top w:w="0" w:type="dxa"/>
              <w:left w:w="108" w:type="dxa"/>
              <w:bottom w:w="0" w:type="dxa"/>
              <w:right w:w="108" w:type="dxa"/>
            </w:tcMar>
          </w:tcPr>
          <w:p w14:paraId="6C7D4496" w14:textId="2D12A927" w:rsidR="00B0325E" w:rsidRPr="00B0325E" w:rsidRDefault="00B0325E" w:rsidP="00B0325E">
            <w:pPr>
              <w:rPr>
                <w:rFonts w:asciiTheme="minorHAnsi" w:hAnsiTheme="minorHAnsi" w:cstheme="minorHAnsi"/>
                <w:color w:val="000000"/>
              </w:rPr>
            </w:pPr>
            <w:r w:rsidRPr="00B0325E">
              <w:rPr>
                <w:rFonts w:asciiTheme="minorHAnsi" w:hAnsiTheme="minorHAnsi" w:cstheme="minorHAnsi"/>
              </w:rPr>
              <w:t>$1,101,688,901.17</w:t>
            </w:r>
          </w:p>
        </w:tc>
        <w:tc>
          <w:tcPr>
            <w:tcW w:w="2462" w:type="dxa"/>
            <w:noWrap/>
            <w:tcMar>
              <w:top w:w="0" w:type="dxa"/>
              <w:left w:w="108" w:type="dxa"/>
              <w:bottom w:w="0" w:type="dxa"/>
              <w:right w:w="108" w:type="dxa"/>
            </w:tcMar>
          </w:tcPr>
          <w:p w14:paraId="1CBD2B66" w14:textId="3FEFFAE9" w:rsidR="00B0325E" w:rsidRPr="00B0325E" w:rsidRDefault="00B0325E" w:rsidP="00B0325E">
            <w:pPr>
              <w:rPr>
                <w:rFonts w:asciiTheme="minorHAnsi" w:hAnsiTheme="minorHAnsi" w:cstheme="minorHAnsi"/>
                <w:color w:val="000000"/>
              </w:rPr>
            </w:pPr>
            <w:r w:rsidRPr="00B0325E">
              <w:rPr>
                <w:rFonts w:asciiTheme="minorHAnsi" w:hAnsiTheme="minorHAnsi" w:cstheme="minorHAnsi"/>
              </w:rPr>
              <w:t>$1,101,688,901.17</w:t>
            </w:r>
          </w:p>
        </w:tc>
        <w:tc>
          <w:tcPr>
            <w:tcW w:w="2513" w:type="dxa"/>
            <w:noWrap/>
            <w:tcMar>
              <w:top w:w="0" w:type="dxa"/>
              <w:left w:w="108" w:type="dxa"/>
              <w:bottom w:w="0" w:type="dxa"/>
              <w:right w:w="108" w:type="dxa"/>
            </w:tcMar>
          </w:tcPr>
          <w:p w14:paraId="2036BA1A" w14:textId="747989E5" w:rsidR="00B0325E" w:rsidRPr="00B0325E" w:rsidRDefault="00B0325E" w:rsidP="00B0325E">
            <w:pPr>
              <w:rPr>
                <w:rFonts w:asciiTheme="minorHAnsi" w:hAnsiTheme="minorHAnsi" w:cstheme="minorHAnsi"/>
                <w:color w:val="000000"/>
              </w:rPr>
            </w:pPr>
            <w:r w:rsidRPr="00B0325E">
              <w:rPr>
                <w:rFonts w:asciiTheme="minorHAnsi" w:hAnsiTheme="minorHAnsi" w:cstheme="minorHAnsi"/>
              </w:rPr>
              <w:t>$0.00</w:t>
            </w:r>
          </w:p>
        </w:tc>
      </w:tr>
      <w:tr w:rsidR="00B0325E" w14:paraId="098D47D4" w14:textId="77777777" w:rsidTr="00DA6760">
        <w:trPr>
          <w:trHeight w:val="290"/>
        </w:trPr>
        <w:tc>
          <w:tcPr>
            <w:tcW w:w="2643" w:type="dxa"/>
            <w:tcBorders>
              <w:top w:val="single" w:sz="8" w:space="0" w:color="9BC2E6"/>
              <w:left w:val="nil"/>
              <w:bottom w:val="nil"/>
              <w:right w:val="nil"/>
            </w:tcBorders>
            <w:shd w:val="clear" w:color="auto" w:fill="DDEBF7"/>
            <w:noWrap/>
            <w:tcMar>
              <w:top w:w="0" w:type="dxa"/>
              <w:left w:w="108" w:type="dxa"/>
              <w:bottom w:w="0" w:type="dxa"/>
              <w:right w:w="108" w:type="dxa"/>
            </w:tcMar>
            <w:vAlign w:val="bottom"/>
            <w:hideMark/>
          </w:tcPr>
          <w:p w14:paraId="6438D60B" w14:textId="77777777" w:rsidR="00B0325E" w:rsidRPr="001B5034" w:rsidRDefault="00B0325E" w:rsidP="00B0325E">
            <w:pPr>
              <w:rPr>
                <w:rFonts w:asciiTheme="minorHAnsi" w:hAnsiTheme="minorHAnsi" w:cstheme="minorHAnsi"/>
                <w:b/>
                <w:bCs/>
                <w:color w:val="000000"/>
              </w:rPr>
            </w:pPr>
            <w:r w:rsidRPr="001B5034">
              <w:rPr>
                <w:rFonts w:asciiTheme="minorHAnsi" w:hAnsiTheme="minorHAnsi" w:cstheme="minorHAnsi"/>
                <w:b/>
                <w:bCs/>
                <w:color w:val="000000"/>
              </w:rPr>
              <w:t>Grand Total</w:t>
            </w:r>
          </w:p>
        </w:tc>
        <w:tc>
          <w:tcPr>
            <w:tcW w:w="2102" w:type="dxa"/>
            <w:tcBorders>
              <w:top w:val="single" w:sz="8" w:space="0" w:color="9BC2E6"/>
              <w:left w:val="nil"/>
              <w:bottom w:val="nil"/>
              <w:right w:val="nil"/>
            </w:tcBorders>
            <w:shd w:val="clear" w:color="auto" w:fill="DDEBF7"/>
            <w:noWrap/>
            <w:tcMar>
              <w:top w:w="0" w:type="dxa"/>
              <w:left w:w="108" w:type="dxa"/>
              <w:bottom w:w="0" w:type="dxa"/>
              <w:right w:w="108" w:type="dxa"/>
            </w:tcMar>
          </w:tcPr>
          <w:p w14:paraId="7378580F" w14:textId="28424389" w:rsidR="00B0325E" w:rsidRPr="00B0325E" w:rsidRDefault="00B0325E" w:rsidP="00B0325E">
            <w:pPr>
              <w:rPr>
                <w:rFonts w:asciiTheme="minorHAnsi" w:hAnsiTheme="minorHAnsi" w:cstheme="minorHAnsi"/>
                <w:b/>
                <w:bCs/>
                <w:color w:val="000000"/>
                <w:szCs w:val="22"/>
              </w:rPr>
            </w:pPr>
            <w:r w:rsidRPr="00B0325E">
              <w:rPr>
                <w:rFonts w:asciiTheme="minorHAnsi" w:eastAsiaTheme="minorHAnsi" w:hAnsiTheme="minorHAnsi" w:cstheme="minorHAnsi"/>
                <w:b/>
                <w:bCs/>
                <w:color w:val="000000"/>
                <w:szCs w:val="22"/>
              </w:rPr>
              <w:t>$3,098,928,552.76</w:t>
            </w:r>
          </w:p>
        </w:tc>
        <w:tc>
          <w:tcPr>
            <w:tcW w:w="2462" w:type="dxa"/>
            <w:tcBorders>
              <w:top w:val="single" w:sz="8" w:space="0" w:color="9BC2E6"/>
              <w:left w:val="nil"/>
              <w:bottom w:val="nil"/>
              <w:right w:val="nil"/>
            </w:tcBorders>
            <w:shd w:val="clear" w:color="auto" w:fill="DDEBF7"/>
            <w:noWrap/>
            <w:tcMar>
              <w:top w:w="0" w:type="dxa"/>
              <w:left w:w="108" w:type="dxa"/>
              <w:bottom w:w="0" w:type="dxa"/>
              <w:right w:w="108" w:type="dxa"/>
            </w:tcMar>
          </w:tcPr>
          <w:p w14:paraId="6AD71F26" w14:textId="11259878" w:rsidR="00B0325E" w:rsidRPr="00B0325E" w:rsidRDefault="00B0325E" w:rsidP="00B0325E">
            <w:pPr>
              <w:rPr>
                <w:rFonts w:asciiTheme="minorHAnsi" w:hAnsiTheme="minorHAnsi" w:cstheme="minorHAnsi"/>
                <w:b/>
                <w:bCs/>
                <w:color w:val="000000"/>
                <w:szCs w:val="22"/>
              </w:rPr>
            </w:pPr>
            <w:r w:rsidRPr="00B0325E">
              <w:rPr>
                <w:rFonts w:asciiTheme="minorHAnsi" w:eastAsiaTheme="minorHAnsi" w:hAnsiTheme="minorHAnsi" w:cstheme="minorHAnsi"/>
                <w:b/>
                <w:bCs/>
                <w:color w:val="000000"/>
                <w:szCs w:val="22"/>
              </w:rPr>
              <w:t>$3,098,928,552.76</w:t>
            </w:r>
          </w:p>
        </w:tc>
        <w:tc>
          <w:tcPr>
            <w:tcW w:w="2513" w:type="dxa"/>
            <w:tcBorders>
              <w:top w:val="single" w:sz="8" w:space="0" w:color="9BC2E6"/>
              <w:left w:val="nil"/>
              <w:bottom w:val="nil"/>
              <w:right w:val="nil"/>
            </w:tcBorders>
            <w:shd w:val="clear" w:color="auto" w:fill="DDEBF7"/>
            <w:noWrap/>
            <w:tcMar>
              <w:top w:w="0" w:type="dxa"/>
              <w:left w:w="108" w:type="dxa"/>
              <w:bottom w:w="0" w:type="dxa"/>
              <w:right w:w="108" w:type="dxa"/>
            </w:tcMar>
          </w:tcPr>
          <w:p w14:paraId="59D2DDA1" w14:textId="6A56E1D2" w:rsidR="00B0325E" w:rsidRPr="00B0325E" w:rsidRDefault="00B0325E" w:rsidP="00B0325E">
            <w:pPr>
              <w:rPr>
                <w:rFonts w:asciiTheme="minorHAnsi" w:hAnsiTheme="minorHAnsi" w:cstheme="minorHAnsi"/>
                <w:b/>
                <w:bCs/>
                <w:color w:val="000000"/>
                <w:szCs w:val="22"/>
              </w:rPr>
            </w:pPr>
            <w:r w:rsidRPr="00B0325E">
              <w:rPr>
                <w:rFonts w:asciiTheme="minorHAnsi" w:eastAsiaTheme="minorHAnsi" w:hAnsiTheme="minorHAnsi" w:cstheme="minorHAnsi"/>
                <w:b/>
                <w:bCs/>
                <w:color w:val="000000"/>
                <w:szCs w:val="22"/>
              </w:rPr>
              <w:t>$0.00</w:t>
            </w:r>
          </w:p>
        </w:tc>
      </w:tr>
    </w:tbl>
    <w:p w14:paraId="4A3C1FFE" w14:textId="77777777" w:rsidR="001B5034" w:rsidRDefault="001B5034" w:rsidP="007875D6">
      <w:pPr>
        <w:rPr>
          <w:rFonts w:asciiTheme="minorHAnsi" w:hAnsiTheme="minorHAnsi" w:cstheme="minorHAnsi"/>
        </w:rPr>
      </w:pPr>
    </w:p>
    <w:p w14:paraId="3D9D0C39" w14:textId="77777777" w:rsidR="007875D6" w:rsidRDefault="007875D6" w:rsidP="007875D6">
      <w:pPr>
        <w:rPr>
          <w:rFonts w:asciiTheme="minorHAnsi" w:hAnsiTheme="minorHAnsi" w:cstheme="minorHAnsi"/>
        </w:rPr>
      </w:pPr>
    </w:p>
    <w:p w14:paraId="4CEAC9D6" w14:textId="3CE2C8E3" w:rsidR="007875D6" w:rsidRDefault="007875D6" w:rsidP="007875D6">
      <w:pPr>
        <w:rPr>
          <w:rFonts w:asciiTheme="minorHAnsi" w:hAnsiTheme="minorHAnsi" w:cstheme="minorHAnsi"/>
        </w:rPr>
      </w:pPr>
      <w:r>
        <w:rPr>
          <w:rFonts w:asciiTheme="minorHAnsi" w:hAnsiTheme="minorHAnsi" w:cstheme="minorHAnsi"/>
        </w:rPr>
        <w:tab/>
        <w:t>In response to (10)(c)</w:t>
      </w:r>
      <w:r w:rsidR="00F63153">
        <w:rPr>
          <w:rFonts w:asciiTheme="minorHAnsi" w:hAnsiTheme="minorHAnsi" w:cstheme="minorHAnsi"/>
        </w:rPr>
        <w:t>,</w:t>
      </w:r>
      <w:r>
        <w:rPr>
          <w:rFonts w:asciiTheme="minorHAnsi" w:hAnsiTheme="minorHAnsi" w:cstheme="minorHAnsi"/>
        </w:rPr>
        <w:t xml:space="preserve"> DMS has verified that </w:t>
      </w:r>
      <w:proofErr w:type="spellStart"/>
      <w:r>
        <w:rPr>
          <w:rFonts w:asciiTheme="minorHAnsi" w:hAnsiTheme="minorHAnsi" w:cstheme="minorHAnsi"/>
        </w:rPr>
        <w:t>MedImpact</w:t>
      </w:r>
      <w:proofErr w:type="spellEnd"/>
      <w:r>
        <w:rPr>
          <w:rFonts w:asciiTheme="minorHAnsi" w:hAnsiTheme="minorHAnsi" w:cstheme="minorHAnsi"/>
        </w:rPr>
        <w:t>, the contracted pharmacy benefits manager (PBM) for the Fee-For-Service and Medicaid Managed Care</w:t>
      </w:r>
      <w:r w:rsidR="00F63153">
        <w:rPr>
          <w:rFonts w:asciiTheme="minorHAnsi" w:hAnsiTheme="minorHAnsi" w:cstheme="minorHAnsi"/>
        </w:rPr>
        <w:t>,</w:t>
      </w:r>
      <w:r>
        <w:rPr>
          <w:rFonts w:asciiTheme="minorHAnsi" w:hAnsiTheme="minorHAnsi" w:cstheme="minorHAnsi"/>
        </w:rPr>
        <w:t xml:space="preserve"> does not have licensed pharmacies with which it shares:</w:t>
      </w:r>
    </w:p>
    <w:p w14:paraId="664DFC7E" w14:textId="19A18393" w:rsidR="007875D6" w:rsidRPr="00BD7ACB" w:rsidRDefault="007875D6" w:rsidP="007875D6">
      <w:pPr>
        <w:pStyle w:val="ListParagraph"/>
        <w:numPr>
          <w:ilvl w:val="0"/>
          <w:numId w:val="14"/>
        </w:numPr>
        <w:rPr>
          <w:rFonts w:asciiTheme="minorHAnsi" w:hAnsiTheme="minorHAnsi" w:cstheme="minorHAnsi"/>
        </w:rPr>
      </w:pPr>
      <w:r w:rsidRPr="00BD7ACB">
        <w:rPr>
          <w:rFonts w:asciiTheme="minorHAnsi" w:hAnsiTheme="minorHAnsi" w:cstheme="minorHAnsi"/>
        </w:rPr>
        <w:t xml:space="preserve">Common ownership, </w:t>
      </w:r>
      <w:r w:rsidR="00F63153" w:rsidRPr="00BD7ACB">
        <w:rPr>
          <w:rFonts w:asciiTheme="minorHAnsi" w:hAnsiTheme="minorHAnsi" w:cstheme="minorHAnsi"/>
        </w:rPr>
        <w:t>management, or</w:t>
      </w:r>
      <w:r w:rsidRPr="00BD7ACB">
        <w:rPr>
          <w:rFonts w:asciiTheme="minorHAnsi" w:hAnsiTheme="minorHAnsi" w:cstheme="minorHAnsi"/>
        </w:rPr>
        <w:t xml:space="preserve"> control, and is not owned, managed, or controlled by any of the following:</w:t>
      </w:r>
    </w:p>
    <w:p w14:paraId="58DC613D" w14:textId="77777777" w:rsidR="007875D6" w:rsidRDefault="007875D6" w:rsidP="007875D6">
      <w:pPr>
        <w:pStyle w:val="ListParagraph"/>
        <w:numPr>
          <w:ilvl w:val="1"/>
          <w:numId w:val="13"/>
        </w:numPr>
        <w:rPr>
          <w:rFonts w:asciiTheme="minorHAnsi" w:hAnsiTheme="minorHAnsi" w:cstheme="minorHAnsi"/>
        </w:rPr>
      </w:pPr>
      <w:r>
        <w:rPr>
          <w:rFonts w:asciiTheme="minorHAnsi" w:hAnsiTheme="minorHAnsi" w:cstheme="minorHAnsi"/>
        </w:rPr>
        <w:lastRenderedPageBreak/>
        <w:t>The state pharmacy benefit manager’s:</w:t>
      </w:r>
    </w:p>
    <w:p w14:paraId="198B377B"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M</w:t>
      </w:r>
      <w:r w:rsidRPr="00601F4B">
        <w:rPr>
          <w:rFonts w:asciiTheme="minorHAnsi" w:hAnsiTheme="minorHAnsi" w:cstheme="minorHAnsi"/>
        </w:rPr>
        <w:t xml:space="preserve">anagement </w:t>
      </w:r>
      <w:proofErr w:type="gramStart"/>
      <w:r w:rsidRPr="00601F4B">
        <w:rPr>
          <w:rFonts w:asciiTheme="minorHAnsi" w:hAnsiTheme="minorHAnsi" w:cstheme="minorHAnsi"/>
        </w:rPr>
        <w:t>companies</w:t>
      </w:r>
      <w:r>
        <w:rPr>
          <w:rFonts w:asciiTheme="minorHAnsi" w:hAnsiTheme="minorHAnsi" w:cstheme="minorHAnsi"/>
        </w:rPr>
        <w:t>;</w:t>
      </w:r>
      <w:proofErr w:type="gramEnd"/>
    </w:p>
    <w:p w14:paraId="0CDC26C1"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P</w:t>
      </w:r>
      <w:r w:rsidRPr="00601F4B">
        <w:rPr>
          <w:rFonts w:asciiTheme="minorHAnsi" w:hAnsiTheme="minorHAnsi" w:cstheme="minorHAnsi"/>
        </w:rPr>
        <w:t xml:space="preserve">arent </w:t>
      </w:r>
      <w:proofErr w:type="gramStart"/>
      <w:r w:rsidRPr="00601F4B">
        <w:rPr>
          <w:rFonts w:asciiTheme="minorHAnsi" w:hAnsiTheme="minorHAnsi" w:cstheme="minorHAnsi"/>
        </w:rPr>
        <w:t>companies</w:t>
      </w:r>
      <w:r>
        <w:rPr>
          <w:rFonts w:asciiTheme="minorHAnsi" w:hAnsiTheme="minorHAnsi" w:cstheme="minorHAnsi"/>
        </w:rPr>
        <w:t>;</w:t>
      </w:r>
      <w:proofErr w:type="gramEnd"/>
    </w:p>
    <w:p w14:paraId="74C76F02"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S</w:t>
      </w:r>
      <w:r w:rsidRPr="00601F4B">
        <w:rPr>
          <w:rFonts w:asciiTheme="minorHAnsi" w:hAnsiTheme="minorHAnsi" w:cstheme="minorHAnsi"/>
        </w:rPr>
        <w:t xml:space="preserve">ubsidiary </w:t>
      </w:r>
      <w:proofErr w:type="gramStart"/>
      <w:r w:rsidRPr="00601F4B">
        <w:rPr>
          <w:rFonts w:asciiTheme="minorHAnsi" w:hAnsiTheme="minorHAnsi" w:cstheme="minorHAnsi"/>
        </w:rPr>
        <w:t>companies</w:t>
      </w:r>
      <w:r>
        <w:rPr>
          <w:rFonts w:asciiTheme="minorHAnsi" w:hAnsiTheme="minorHAnsi" w:cstheme="minorHAnsi"/>
        </w:rPr>
        <w:t>;</w:t>
      </w:r>
      <w:proofErr w:type="gramEnd"/>
    </w:p>
    <w:p w14:paraId="21FAA913"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J</w:t>
      </w:r>
      <w:r w:rsidRPr="00601F4B">
        <w:rPr>
          <w:rFonts w:asciiTheme="minorHAnsi" w:hAnsiTheme="minorHAnsi" w:cstheme="minorHAnsi"/>
        </w:rPr>
        <w:t xml:space="preserve">ointly held companies, </w:t>
      </w:r>
    </w:p>
    <w:p w14:paraId="2834EF6F"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C</w:t>
      </w:r>
      <w:r w:rsidRPr="00601F4B">
        <w:rPr>
          <w:rFonts w:asciiTheme="minorHAnsi" w:hAnsiTheme="minorHAnsi" w:cstheme="minorHAnsi"/>
        </w:rPr>
        <w:t xml:space="preserve">ompanies otherwise affiliated by a common owner, manager, or holding company; or </w:t>
      </w:r>
    </w:p>
    <w:p w14:paraId="11D22B47"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Companies w</w:t>
      </w:r>
      <w:r w:rsidRPr="00601F4B">
        <w:rPr>
          <w:rFonts w:asciiTheme="minorHAnsi" w:hAnsiTheme="minorHAnsi" w:cstheme="minorHAnsi"/>
        </w:rPr>
        <w:t>hich share any common members on the board of directors; or which share managers in common</w:t>
      </w:r>
      <w:r>
        <w:rPr>
          <w:rFonts w:asciiTheme="minorHAnsi" w:hAnsiTheme="minorHAnsi" w:cstheme="minorHAnsi"/>
        </w:rPr>
        <w:t>.</w:t>
      </w:r>
    </w:p>
    <w:p w14:paraId="24FC953A" w14:textId="63418D0C" w:rsidR="007875D6" w:rsidRDefault="007875D6" w:rsidP="007875D6">
      <w:pPr>
        <w:rPr>
          <w:rFonts w:asciiTheme="minorHAnsi" w:hAnsiTheme="minorHAnsi" w:cstheme="minorHAnsi"/>
        </w:rPr>
      </w:pPr>
      <w:r>
        <w:rPr>
          <w:rFonts w:asciiTheme="minorHAnsi" w:hAnsiTheme="minorHAnsi" w:cstheme="minorHAnsi"/>
        </w:rPr>
        <w:tab/>
        <w:t>In response to (10)(d)</w:t>
      </w:r>
      <w:r w:rsidR="00F63153">
        <w:rPr>
          <w:rFonts w:asciiTheme="minorHAnsi" w:hAnsiTheme="minorHAnsi" w:cstheme="minorHAnsi"/>
        </w:rPr>
        <w:t>,</w:t>
      </w:r>
      <w:r>
        <w:rPr>
          <w:rFonts w:asciiTheme="minorHAnsi" w:hAnsiTheme="minorHAnsi" w:cstheme="minorHAnsi"/>
        </w:rPr>
        <w:t xml:space="preserve"> the department responds that it pays a $10.64 dispensing fee for all Medicaid pharmacy claims, regardless of Fee-For-Service or Medicaid Managed Care patient status. In addition, this dispensing fee is the same for all pharmacies regardless of independent or retail status, or the total number of pharmacies owned or controlled by the pharmacy’s manager.</w:t>
      </w:r>
    </w:p>
    <w:p w14:paraId="08F5864D" w14:textId="77777777" w:rsidR="007875D6" w:rsidRDefault="007875D6" w:rsidP="007875D6">
      <w:pPr>
        <w:rPr>
          <w:rFonts w:asciiTheme="minorHAnsi" w:hAnsiTheme="minorHAnsi" w:cstheme="minorHAnsi"/>
        </w:rPr>
      </w:pPr>
    </w:p>
    <w:p w14:paraId="4E2DDC3D" w14:textId="2361D047" w:rsidR="007875D6" w:rsidRDefault="007875D6" w:rsidP="007875D6">
      <w:pPr>
        <w:rPr>
          <w:rFonts w:asciiTheme="minorHAnsi" w:hAnsiTheme="minorHAnsi" w:cstheme="minorHAnsi"/>
        </w:rPr>
      </w:pPr>
      <w:r>
        <w:rPr>
          <w:rFonts w:asciiTheme="minorHAnsi" w:hAnsiTheme="minorHAnsi" w:cstheme="minorHAnsi"/>
        </w:rPr>
        <w:tab/>
        <w:t>In response to (10)(e)</w:t>
      </w:r>
      <w:r w:rsidR="00F63153">
        <w:rPr>
          <w:rFonts w:asciiTheme="minorHAnsi" w:hAnsiTheme="minorHAnsi" w:cstheme="minorHAnsi"/>
        </w:rPr>
        <w:t>,</w:t>
      </w:r>
      <w:r>
        <w:rPr>
          <w:rFonts w:asciiTheme="minorHAnsi" w:hAnsiTheme="minorHAnsi" w:cstheme="minorHAnsi"/>
        </w:rPr>
        <w:t xml:space="preserve"> DMS has verified that </w:t>
      </w:r>
      <w:proofErr w:type="spellStart"/>
      <w:r>
        <w:rPr>
          <w:rFonts w:asciiTheme="minorHAnsi" w:hAnsiTheme="minorHAnsi" w:cstheme="minorHAnsi"/>
        </w:rPr>
        <w:t>MedImpact</w:t>
      </w:r>
      <w:proofErr w:type="spellEnd"/>
      <w:r>
        <w:rPr>
          <w:rFonts w:asciiTheme="minorHAnsi" w:hAnsiTheme="minorHAnsi" w:cstheme="minorHAnsi"/>
        </w:rPr>
        <w:t>, the contracted pharmacy benefits manager (PBM) for the Fee-For-Service and Medicaid Managed Care</w:t>
      </w:r>
      <w:r w:rsidR="00F63153">
        <w:rPr>
          <w:rFonts w:asciiTheme="minorHAnsi" w:hAnsiTheme="minorHAnsi" w:cstheme="minorHAnsi"/>
        </w:rPr>
        <w:t>,</w:t>
      </w:r>
      <w:r>
        <w:rPr>
          <w:rFonts w:asciiTheme="minorHAnsi" w:hAnsiTheme="minorHAnsi" w:cstheme="minorHAnsi"/>
        </w:rPr>
        <w:t xml:space="preserve"> does not have </w:t>
      </w:r>
    </w:p>
    <w:p w14:paraId="5066E6B4" w14:textId="77777777" w:rsidR="007875D6" w:rsidRPr="00601F4B" w:rsidRDefault="007875D6" w:rsidP="007875D6">
      <w:pPr>
        <w:pStyle w:val="ListParagraph"/>
        <w:numPr>
          <w:ilvl w:val="0"/>
          <w:numId w:val="13"/>
        </w:numPr>
        <w:rPr>
          <w:rFonts w:asciiTheme="minorHAnsi" w:hAnsiTheme="minorHAnsi" w:cstheme="minorHAnsi"/>
        </w:rPr>
      </w:pPr>
      <w:r w:rsidRPr="00601F4B">
        <w:rPr>
          <w:rFonts w:asciiTheme="minorHAnsi" w:hAnsiTheme="minorHAnsi" w:cstheme="minorHAnsi"/>
        </w:rPr>
        <w:t xml:space="preserve">Common ownership, </w:t>
      </w:r>
      <w:proofErr w:type="gramStart"/>
      <w:r w:rsidRPr="00601F4B">
        <w:rPr>
          <w:rFonts w:asciiTheme="minorHAnsi" w:hAnsiTheme="minorHAnsi" w:cstheme="minorHAnsi"/>
        </w:rPr>
        <w:t>management,  or</w:t>
      </w:r>
      <w:proofErr w:type="gramEnd"/>
      <w:r w:rsidRPr="00601F4B">
        <w:rPr>
          <w:rFonts w:asciiTheme="minorHAnsi" w:hAnsiTheme="minorHAnsi" w:cstheme="minorHAnsi"/>
        </w:rPr>
        <w:t xml:space="preserve"> control, and </w:t>
      </w:r>
      <w:r>
        <w:rPr>
          <w:rFonts w:asciiTheme="minorHAnsi" w:hAnsiTheme="minorHAnsi" w:cstheme="minorHAnsi"/>
        </w:rPr>
        <w:t>i</w:t>
      </w:r>
      <w:r w:rsidRPr="00601F4B">
        <w:rPr>
          <w:rFonts w:asciiTheme="minorHAnsi" w:hAnsiTheme="minorHAnsi" w:cstheme="minorHAnsi"/>
        </w:rPr>
        <w:t>s not owned, managed, or controlled by any of the following:</w:t>
      </w:r>
    </w:p>
    <w:p w14:paraId="16AD595D" w14:textId="77777777" w:rsidR="007875D6" w:rsidRDefault="007875D6" w:rsidP="007875D6">
      <w:pPr>
        <w:pStyle w:val="ListParagraph"/>
        <w:numPr>
          <w:ilvl w:val="1"/>
          <w:numId w:val="13"/>
        </w:numPr>
        <w:rPr>
          <w:rFonts w:asciiTheme="minorHAnsi" w:hAnsiTheme="minorHAnsi" w:cstheme="minorHAnsi"/>
        </w:rPr>
      </w:pPr>
      <w:r w:rsidRPr="00601F4B">
        <w:rPr>
          <w:rFonts w:asciiTheme="minorHAnsi" w:hAnsiTheme="minorHAnsi" w:cstheme="minorHAnsi"/>
        </w:rPr>
        <w:t>A state licensed MCO, or</w:t>
      </w:r>
      <w:r>
        <w:rPr>
          <w:rFonts w:asciiTheme="minorHAnsi" w:hAnsiTheme="minorHAnsi" w:cstheme="minorHAnsi"/>
        </w:rPr>
        <w:t xml:space="preserve"> </w:t>
      </w:r>
      <w:r w:rsidRPr="00601F4B">
        <w:rPr>
          <w:rFonts w:asciiTheme="minorHAnsi" w:hAnsiTheme="minorHAnsi" w:cstheme="minorHAnsi"/>
        </w:rPr>
        <w:t>the state licensed MCO’s</w:t>
      </w:r>
      <w:r>
        <w:rPr>
          <w:rFonts w:asciiTheme="minorHAnsi" w:hAnsiTheme="minorHAnsi" w:cstheme="minorHAnsi"/>
        </w:rPr>
        <w:t>:</w:t>
      </w:r>
    </w:p>
    <w:p w14:paraId="134A13B0"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M</w:t>
      </w:r>
      <w:r w:rsidRPr="00601F4B">
        <w:rPr>
          <w:rFonts w:asciiTheme="minorHAnsi" w:hAnsiTheme="minorHAnsi" w:cstheme="minorHAnsi"/>
        </w:rPr>
        <w:t xml:space="preserve">anagement </w:t>
      </w:r>
      <w:proofErr w:type="gramStart"/>
      <w:r w:rsidRPr="00601F4B">
        <w:rPr>
          <w:rFonts w:asciiTheme="minorHAnsi" w:hAnsiTheme="minorHAnsi" w:cstheme="minorHAnsi"/>
        </w:rPr>
        <w:t>companies</w:t>
      </w:r>
      <w:r>
        <w:rPr>
          <w:rFonts w:asciiTheme="minorHAnsi" w:hAnsiTheme="minorHAnsi" w:cstheme="minorHAnsi"/>
        </w:rPr>
        <w:t>;</w:t>
      </w:r>
      <w:proofErr w:type="gramEnd"/>
    </w:p>
    <w:p w14:paraId="1BE204AE"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P</w:t>
      </w:r>
      <w:r w:rsidRPr="00601F4B">
        <w:rPr>
          <w:rFonts w:asciiTheme="minorHAnsi" w:hAnsiTheme="minorHAnsi" w:cstheme="minorHAnsi"/>
        </w:rPr>
        <w:t xml:space="preserve">arent </w:t>
      </w:r>
      <w:proofErr w:type="gramStart"/>
      <w:r w:rsidRPr="00601F4B">
        <w:rPr>
          <w:rFonts w:asciiTheme="minorHAnsi" w:hAnsiTheme="minorHAnsi" w:cstheme="minorHAnsi"/>
        </w:rPr>
        <w:t>companies</w:t>
      </w:r>
      <w:r>
        <w:rPr>
          <w:rFonts w:asciiTheme="minorHAnsi" w:hAnsiTheme="minorHAnsi" w:cstheme="minorHAnsi"/>
        </w:rPr>
        <w:t>;</w:t>
      </w:r>
      <w:proofErr w:type="gramEnd"/>
    </w:p>
    <w:p w14:paraId="48DA5476"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S</w:t>
      </w:r>
      <w:r w:rsidRPr="00601F4B">
        <w:rPr>
          <w:rFonts w:asciiTheme="minorHAnsi" w:hAnsiTheme="minorHAnsi" w:cstheme="minorHAnsi"/>
        </w:rPr>
        <w:t xml:space="preserve">ubsidiary </w:t>
      </w:r>
      <w:proofErr w:type="gramStart"/>
      <w:r w:rsidRPr="00601F4B">
        <w:rPr>
          <w:rFonts w:asciiTheme="minorHAnsi" w:hAnsiTheme="minorHAnsi" w:cstheme="minorHAnsi"/>
        </w:rPr>
        <w:t>companies</w:t>
      </w:r>
      <w:r>
        <w:rPr>
          <w:rFonts w:asciiTheme="minorHAnsi" w:hAnsiTheme="minorHAnsi" w:cstheme="minorHAnsi"/>
        </w:rPr>
        <w:t>;</w:t>
      </w:r>
      <w:proofErr w:type="gramEnd"/>
    </w:p>
    <w:p w14:paraId="7AE7171E"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J</w:t>
      </w:r>
      <w:r w:rsidRPr="00601F4B">
        <w:rPr>
          <w:rFonts w:asciiTheme="minorHAnsi" w:hAnsiTheme="minorHAnsi" w:cstheme="minorHAnsi"/>
        </w:rPr>
        <w:t xml:space="preserve">ointly held companies, </w:t>
      </w:r>
    </w:p>
    <w:p w14:paraId="0E6EDB74"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C</w:t>
      </w:r>
      <w:r w:rsidRPr="00601F4B">
        <w:rPr>
          <w:rFonts w:asciiTheme="minorHAnsi" w:hAnsiTheme="minorHAnsi" w:cstheme="minorHAnsi"/>
        </w:rPr>
        <w:t xml:space="preserve">ompanies otherwise affiliated by a common owner, manager, or holding company; or </w:t>
      </w:r>
    </w:p>
    <w:p w14:paraId="4DE5A6DD"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W</w:t>
      </w:r>
      <w:r w:rsidRPr="00601F4B">
        <w:rPr>
          <w:rFonts w:asciiTheme="minorHAnsi" w:hAnsiTheme="minorHAnsi" w:cstheme="minorHAnsi"/>
        </w:rPr>
        <w:t>hich share any common members on the board of directors; or which share managers in common with a.</w:t>
      </w:r>
    </w:p>
    <w:p w14:paraId="7E3F4F30" w14:textId="77777777" w:rsidR="007875D6" w:rsidRDefault="007875D6" w:rsidP="007875D6">
      <w:pPr>
        <w:pStyle w:val="ListParagraph"/>
        <w:numPr>
          <w:ilvl w:val="1"/>
          <w:numId w:val="13"/>
        </w:numPr>
        <w:rPr>
          <w:rFonts w:asciiTheme="minorHAnsi" w:hAnsiTheme="minorHAnsi" w:cstheme="minorHAnsi"/>
        </w:rPr>
      </w:pPr>
      <w:r>
        <w:rPr>
          <w:rFonts w:asciiTheme="minorHAnsi" w:hAnsiTheme="minorHAnsi" w:cstheme="minorHAnsi"/>
        </w:rPr>
        <w:t xml:space="preserve">Any entity which contracts on behalf of a </w:t>
      </w:r>
      <w:proofErr w:type="gramStart"/>
      <w:r>
        <w:rPr>
          <w:rFonts w:asciiTheme="minorHAnsi" w:hAnsiTheme="minorHAnsi" w:cstheme="minorHAnsi"/>
        </w:rPr>
        <w:t>pharmacy;</w:t>
      </w:r>
      <w:proofErr w:type="gramEnd"/>
    </w:p>
    <w:p w14:paraId="5DCDDBA6" w14:textId="77777777" w:rsidR="007875D6" w:rsidRDefault="007875D6" w:rsidP="007875D6">
      <w:pPr>
        <w:pStyle w:val="ListParagraph"/>
        <w:numPr>
          <w:ilvl w:val="1"/>
          <w:numId w:val="13"/>
        </w:numPr>
        <w:rPr>
          <w:rFonts w:asciiTheme="minorHAnsi" w:hAnsiTheme="minorHAnsi" w:cstheme="minorHAnsi"/>
        </w:rPr>
      </w:pPr>
      <w:r>
        <w:rPr>
          <w:rFonts w:asciiTheme="minorHAnsi" w:hAnsiTheme="minorHAnsi" w:cstheme="minorHAnsi"/>
        </w:rPr>
        <w:t>Any pharmacy services administration organization (PSAO), or the PSAO’s:</w:t>
      </w:r>
    </w:p>
    <w:p w14:paraId="3D7048D8"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 xml:space="preserve">Common </w:t>
      </w:r>
      <w:proofErr w:type="gramStart"/>
      <w:r>
        <w:rPr>
          <w:rFonts w:asciiTheme="minorHAnsi" w:hAnsiTheme="minorHAnsi" w:cstheme="minorHAnsi"/>
        </w:rPr>
        <w:t>ownership;</w:t>
      </w:r>
      <w:proofErr w:type="gramEnd"/>
    </w:p>
    <w:p w14:paraId="17A762A2" w14:textId="77777777" w:rsidR="007875D6" w:rsidRDefault="007875D6" w:rsidP="007875D6">
      <w:pPr>
        <w:pStyle w:val="ListParagraph"/>
        <w:numPr>
          <w:ilvl w:val="2"/>
          <w:numId w:val="13"/>
        </w:numPr>
        <w:rPr>
          <w:rFonts w:asciiTheme="minorHAnsi" w:hAnsiTheme="minorHAnsi" w:cstheme="minorHAnsi"/>
        </w:rPr>
      </w:pPr>
      <w:proofErr w:type="gramStart"/>
      <w:r>
        <w:rPr>
          <w:rFonts w:asciiTheme="minorHAnsi" w:hAnsiTheme="minorHAnsi" w:cstheme="minorHAnsi"/>
        </w:rPr>
        <w:t>Management;</w:t>
      </w:r>
      <w:proofErr w:type="gramEnd"/>
    </w:p>
    <w:p w14:paraId="0B7FA45E"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 xml:space="preserve">Common members of a board of </w:t>
      </w:r>
      <w:proofErr w:type="gramStart"/>
      <w:r>
        <w:rPr>
          <w:rFonts w:asciiTheme="minorHAnsi" w:hAnsiTheme="minorHAnsi" w:cstheme="minorHAnsi"/>
        </w:rPr>
        <w:t>directors;</w:t>
      </w:r>
      <w:proofErr w:type="gramEnd"/>
    </w:p>
    <w:p w14:paraId="3AD15083" w14:textId="77777777" w:rsidR="007875D6" w:rsidRDefault="007875D6" w:rsidP="007875D6">
      <w:pPr>
        <w:pStyle w:val="ListParagraph"/>
        <w:numPr>
          <w:ilvl w:val="2"/>
          <w:numId w:val="13"/>
        </w:numPr>
        <w:rPr>
          <w:rFonts w:asciiTheme="minorHAnsi" w:hAnsiTheme="minorHAnsi" w:cstheme="minorHAnsi"/>
        </w:rPr>
      </w:pPr>
      <w:r>
        <w:rPr>
          <w:rFonts w:asciiTheme="minorHAnsi" w:hAnsiTheme="minorHAnsi" w:cstheme="minorHAnsi"/>
        </w:rPr>
        <w:t>Shared managers; or</w:t>
      </w:r>
    </w:p>
    <w:p w14:paraId="0B0A8B6F" w14:textId="77777777" w:rsidR="007875D6" w:rsidRDefault="007875D6" w:rsidP="007875D6">
      <w:pPr>
        <w:pStyle w:val="ListParagraph"/>
        <w:numPr>
          <w:ilvl w:val="1"/>
          <w:numId w:val="13"/>
        </w:numPr>
        <w:rPr>
          <w:rFonts w:asciiTheme="minorHAnsi" w:hAnsiTheme="minorHAnsi" w:cstheme="minorHAnsi"/>
        </w:rPr>
      </w:pPr>
      <w:r w:rsidRPr="00BD7ACB">
        <w:rPr>
          <w:rFonts w:asciiTheme="minorHAnsi" w:hAnsiTheme="minorHAnsi" w:cstheme="minorHAnsi"/>
        </w:rPr>
        <w:t xml:space="preserve">Control of a </w:t>
      </w:r>
      <w:r>
        <w:rPr>
          <w:rFonts w:asciiTheme="minorHAnsi" w:hAnsiTheme="minorHAnsi" w:cstheme="minorHAnsi"/>
        </w:rPr>
        <w:t>PSAO</w:t>
      </w:r>
      <w:r w:rsidRPr="00BD7ACB">
        <w:rPr>
          <w:rFonts w:asciiTheme="minorHAnsi" w:hAnsiTheme="minorHAnsi" w:cstheme="minorHAnsi"/>
        </w:rPr>
        <w:t xml:space="preserve"> that is contracted with</w:t>
      </w:r>
      <w:r>
        <w:rPr>
          <w:rFonts w:asciiTheme="minorHAnsi" w:hAnsiTheme="minorHAnsi" w:cstheme="minorHAnsi"/>
        </w:rPr>
        <w:t>:</w:t>
      </w:r>
    </w:p>
    <w:p w14:paraId="2E93CCA2" w14:textId="77777777" w:rsidR="007875D6" w:rsidRDefault="007875D6" w:rsidP="007875D6">
      <w:pPr>
        <w:pStyle w:val="ListParagraph"/>
        <w:numPr>
          <w:ilvl w:val="2"/>
          <w:numId w:val="13"/>
        </w:numPr>
        <w:rPr>
          <w:rFonts w:asciiTheme="minorHAnsi" w:hAnsiTheme="minorHAnsi" w:cstheme="minorHAnsi"/>
        </w:rPr>
      </w:pPr>
      <w:r w:rsidRPr="00BD7ACB">
        <w:rPr>
          <w:rFonts w:asciiTheme="minorHAnsi" w:hAnsiTheme="minorHAnsi" w:cstheme="minorHAnsi"/>
        </w:rPr>
        <w:t xml:space="preserve">The state pharmacy benefit manager; </w:t>
      </w:r>
      <w:r>
        <w:rPr>
          <w:rFonts w:asciiTheme="minorHAnsi" w:hAnsiTheme="minorHAnsi" w:cstheme="minorHAnsi"/>
        </w:rPr>
        <w:t>or</w:t>
      </w:r>
    </w:p>
    <w:p w14:paraId="771E3C3D" w14:textId="77777777" w:rsidR="007875D6" w:rsidRDefault="007875D6" w:rsidP="007875D6">
      <w:pPr>
        <w:pStyle w:val="ListParagraph"/>
        <w:numPr>
          <w:ilvl w:val="2"/>
          <w:numId w:val="13"/>
        </w:numPr>
        <w:rPr>
          <w:rFonts w:asciiTheme="minorHAnsi" w:hAnsiTheme="minorHAnsi" w:cstheme="minorHAnsi"/>
        </w:rPr>
      </w:pPr>
      <w:r w:rsidRPr="00BD7ACB">
        <w:rPr>
          <w:rFonts w:asciiTheme="minorHAnsi" w:hAnsiTheme="minorHAnsi" w:cstheme="minorHAnsi"/>
        </w:rPr>
        <w:t>Any drug whol</w:t>
      </w:r>
      <w:r>
        <w:rPr>
          <w:rFonts w:asciiTheme="minorHAnsi" w:hAnsiTheme="minorHAnsi" w:cstheme="minorHAnsi"/>
        </w:rPr>
        <w:t>e</w:t>
      </w:r>
      <w:r w:rsidRPr="00BD7ACB">
        <w:rPr>
          <w:rFonts w:asciiTheme="minorHAnsi" w:hAnsiTheme="minorHAnsi" w:cstheme="minorHAnsi"/>
        </w:rPr>
        <w:t>saler</w:t>
      </w:r>
      <w:r>
        <w:rPr>
          <w:rFonts w:asciiTheme="minorHAnsi" w:hAnsiTheme="minorHAnsi" w:cstheme="minorHAnsi"/>
        </w:rPr>
        <w:t xml:space="preserve"> or distributor.</w:t>
      </w:r>
    </w:p>
    <w:p w14:paraId="5DF9E4BF" w14:textId="77777777" w:rsidR="007875D6" w:rsidRPr="00BD7ACB" w:rsidRDefault="007875D6" w:rsidP="007875D6">
      <w:pPr>
        <w:pStyle w:val="ListParagraph"/>
        <w:ind w:left="2160"/>
        <w:rPr>
          <w:rFonts w:asciiTheme="minorHAnsi" w:hAnsiTheme="minorHAnsi" w:cstheme="minorHAnsi"/>
        </w:rPr>
      </w:pPr>
    </w:p>
    <w:p w14:paraId="56C96580" w14:textId="77777777" w:rsidR="007875D6" w:rsidRPr="006D49DB" w:rsidRDefault="007875D6" w:rsidP="007875D6">
      <w:pPr>
        <w:rPr>
          <w:rFonts w:asciiTheme="minorHAnsi" w:hAnsiTheme="minorHAnsi" w:cstheme="minorHAnsi"/>
        </w:rPr>
      </w:pPr>
    </w:p>
    <w:p w14:paraId="6E620F53" w14:textId="77777777" w:rsidR="0060697F" w:rsidRPr="007875D6" w:rsidRDefault="0060697F" w:rsidP="007875D6"/>
    <w:sectPr w:rsidR="0060697F" w:rsidRPr="007875D6" w:rsidSect="00D544E0">
      <w:headerReference w:type="first" r:id="rId10"/>
      <w:footerReference w:type="first" r:id="rId11"/>
      <w:pgSz w:w="12240" w:h="15840" w:code="1"/>
      <w:pgMar w:top="288" w:right="965" w:bottom="907" w:left="56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49A8" w14:textId="77777777" w:rsidR="00A56333" w:rsidRDefault="00A56333">
      <w:r>
        <w:separator/>
      </w:r>
    </w:p>
  </w:endnote>
  <w:endnote w:type="continuationSeparator" w:id="0">
    <w:p w14:paraId="2199A4C1" w14:textId="77777777" w:rsidR="00A56333" w:rsidRDefault="00A5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eGothic LH BoldExtende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0DEF" w14:textId="77777777" w:rsidR="0052108B" w:rsidRDefault="002621B8" w:rsidP="0052108B">
    <w:pPr>
      <w:tabs>
        <w:tab w:val="center" w:pos="10065"/>
      </w:tabs>
      <w:spacing w:after="40" w:line="260" w:lineRule="atLeast"/>
      <w:rPr>
        <w:sz w:val="20"/>
      </w:rPr>
    </w:pPr>
    <w:r>
      <w:rPr>
        <w:noProof/>
        <w:sz w:val="20"/>
      </w:rPr>
      <mc:AlternateContent>
        <mc:Choice Requires="wps">
          <w:drawing>
            <wp:anchor distT="0" distB="0" distL="114300" distR="114300" simplePos="0" relativeHeight="251656704" behindDoc="0" locked="0" layoutInCell="1" allowOverlap="1" wp14:anchorId="06474AFF" wp14:editId="7814B9FA">
              <wp:simplePos x="0" y="0"/>
              <wp:positionH relativeFrom="column">
                <wp:posOffset>2514600</wp:posOffset>
              </wp:positionH>
              <wp:positionV relativeFrom="paragraph">
                <wp:posOffset>-186055</wp:posOffset>
              </wp:positionV>
              <wp:extent cx="1947545" cy="59372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555AE" w14:textId="77777777" w:rsidR="0052108B" w:rsidRDefault="002621B8" w:rsidP="0052108B">
                          <w:pPr>
                            <w:tabs>
                              <w:tab w:val="center" w:pos="1440"/>
                            </w:tabs>
                            <w:rPr>
                              <w:sz w:val="18"/>
                            </w:rPr>
                          </w:pPr>
                          <w:r>
                            <w:rPr>
                              <w:noProof/>
                              <w:sz w:val="18"/>
                            </w:rPr>
                            <w:drawing>
                              <wp:inline distT="0" distB="0" distL="0" distR="0" wp14:anchorId="5437C598" wp14:editId="7AA43653">
                                <wp:extent cx="1763395" cy="501015"/>
                                <wp:effectExtent l="0" t="0" r="0" b="0"/>
                                <wp:docPr id="4" name="Picture 3" descr="TeamKentucky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Kentucky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5010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474AFF" id="_x0000_t202" coordsize="21600,21600" o:spt="202" path="m,l,21600r21600,l21600,xe">
              <v:stroke joinstyle="miter"/>
              <v:path gradientshapeok="t" o:connecttype="rect"/>
            </v:shapetype>
            <v:shape id="Text Box 1" o:spid="_x0000_s1028" type="#_x0000_t202" style="position:absolute;margin-left:198pt;margin-top:-14.65pt;width:153.35pt;height:46.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" stroked="f">
              <v:textbox style="mso-fit-shape-to-text:t">
                <w:txbxContent>
                  <w:p w14:paraId="01F555AE" w14:textId="77777777" w:rsidR="0052108B" w:rsidRDefault="002621B8" w:rsidP="0052108B">
                    <w:pPr>
                      <w:tabs>
                        <w:tab w:val="center" w:pos="1440"/>
                      </w:tabs>
                      <w:rPr>
                        <w:sz w:val="18"/>
                      </w:rPr>
                    </w:pPr>
                    <w:r>
                      <w:rPr>
                        <w:noProof/>
                        <w:sz w:val="18"/>
                      </w:rPr>
                      <w:drawing>
                        <wp:inline distT="0" distB="0" distL="0" distR="0" wp14:anchorId="5437C598" wp14:editId="7AA43653">
                          <wp:extent cx="1763395" cy="501015"/>
                          <wp:effectExtent l="0" t="0" r="0" b="0"/>
                          <wp:docPr id="4" name="Picture 3" descr="TeamKentucky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Kentucky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501015"/>
                                  </a:xfrm>
                                  <a:prstGeom prst="rect">
                                    <a:avLst/>
                                  </a:prstGeom>
                                  <a:noFill/>
                                  <a:ln>
                                    <a:noFill/>
                                  </a:ln>
                                </pic:spPr>
                              </pic:pic>
                            </a:graphicData>
                          </a:graphic>
                        </wp:inline>
                      </w:drawing>
                    </w:r>
                  </w:p>
                </w:txbxContent>
              </v:textbox>
            </v:shape>
          </w:pict>
        </mc:Fallback>
      </mc:AlternateContent>
    </w:r>
  </w:p>
  <w:p w14:paraId="7EE84B4F" w14:textId="77777777" w:rsidR="0052108B" w:rsidRPr="00524DAE" w:rsidRDefault="00976E33" w:rsidP="0052108B">
    <w:pPr>
      <w:pStyle w:val="BlockText"/>
      <w:tabs>
        <w:tab w:val="clear" w:pos="7920"/>
        <w:tab w:val="clear" w:pos="10065"/>
        <w:tab w:val="center" w:pos="5110"/>
        <w:tab w:val="center" w:pos="9840"/>
      </w:tabs>
      <w:ind w:left="0" w:right="-22"/>
      <w:rPr>
        <w:rFonts w:cs="Arial"/>
        <w:color w:val="333399"/>
      </w:rPr>
    </w:pPr>
    <w:r>
      <w:rPr>
        <w:rFonts w:cs="Arial"/>
        <w:color w:val="333399"/>
      </w:rPr>
      <w:t>Kentuck</w:t>
    </w:r>
    <w:r w:rsidRPr="00976E33">
      <w:rPr>
        <w:rFonts w:cs="Arial"/>
        <w:color w:val="333399"/>
      </w:rPr>
      <w:t>y.gov</w:t>
    </w:r>
    <w:r w:rsidR="0052108B" w:rsidRPr="00524DAE">
      <w:rPr>
        <w:rFonts w:cs="Arial"/>
        <w:color w:val="333399"/>
      </w:rPr>
      <w:tab/>
    </w:r>
    <w:r w:rsidR="0052108B" w:rsidRPr="00524DAE">
      <w:rPr>
        <w:rFonts w:cs="Arial"/>
        <w:color w:val="333399"/>
      </w:rPr>
      <w:tab/>
      <w:t>An Equal Opportunity Employer M/F/D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17A2" w14:textId="77777777" w:rsidR="00A56333" w:rsidRDefault="00A56333">
      <w:r>
        <w:separator/>
      </w:r>
    </w:p>
  </w:footnote>
  <w:footnote w:type="continuationSeparator" w:id="0">
    <w:p w14:paraId="11B50B2C" w14:textId="77777777" w:rsidR="00A56333" w:rsidRDefault="00A5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8FBC" w14:textId="77777777" w:rsidR="00797852" w:rsidRDefault="002621B8" w:rsidP="00797852">
    <w:pPr>
      <w:tabs>
        <w:tab w:val="center" w:pos="5264"/>
      </w:tabs>
      <w:spacing w:line="220" w:lineRule="atLeast"/>
      <w:rPr>
        <w:sz w:val="20"/>
      </w:rPr>
    </w:pPr>
    <w:r>
      <w:rPr>
        <w:noProof/>
        <w:sz w:val="20"/>
      </w:rPr>
      <mc:AlternateContent>
        <mc:Choice Requires="wps">
          <w:drawing>
            <wp:anchor distT="0" distB="0" distL="114300" distR="114300" simplePos="0" relativeHeight="251657728" behindDoc="0" locked="0" layoutInCell="1" allowOverlap="1" wp14:anchorId="4BD30BE4" wp14:editId="7A7C1173">
              <wp:simplePos x="0" y="0"/>
              <wp:positionH relativeFrom="column">
                <wp:posOffset>2971800</wp:posOffset>
              </wp:positionH>
              <wp:positionV relativeFrom="paragraph">
                <wp:posOffset>72390</wp:posOffset>
              </wp:positionV>
              <wp:extent cx="1080770" cy="9867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FA581" w14:textId="77777777" w:rsidR="00797852" w:rsidRDefault="002621B8" w:rsidP="00797852">
                          <w:r>
                            <w:rPr>
                              <w:noProof/>
                              <w:color w:val="FF99CC"/>
                            </w:rPr>
                            <w:drawing>
                              <wp:inline distT="0" distB="0" distL="0" distR="0" wp14:anchorId="02EF236B" wp14:editId="2B2E827C">
                                <wp:extent cx="892810" cy="892810"/>
                                <wp:effectExtent l="0" t="0" r="0" b="0"/>
                                <wp:docPr id="6" name="Picture 1" descr="Seal_Stat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State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892810"/>
                                        </a:xfrm>
                                        <a:prstGeom prst="rect">
                                          <a:avLst/>
                                        </a:prstGeom>
                                        <a:noFill/>
                                        <a:ln>
                                          <a:noFill/>
                                        </a:ln>
                                      </pic:spPr>
                                    </pic:pic>
                                  </a:graphicData>
                                </a:graphic>
                              </wp:inline>
                            </w:drawing>
                          </w:r>
                          <w:r>
                            <w:rPr>
                              <w:noProof/>
                            </w:rPr>
                            <w:drawing>
                              <wp:inline distT="0" distB="0" distL="0" distR="0" wp14:anchorId="325094E2" wp14:editId="586C77AB">
                                <wp:extent cx="903605" cy="870585"/>
                                <wp:effectExtent l="0" t="0" r="0" b="0"/>
                                <wp:docPr id="5" name="Picture 2" descr="Seal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state-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30BE4" id="_x0000_t202" coordsize="21600,21600" o:spt="202" path="m,l,21600r21600,l21600,xe">
              <v:stroke joinstyle="miter"/>
              <v:path gradientshapeok="t" o:connecttype="rect"/>
            </v:shapetype>
            <v:shape id="Text Box 2" o:spid="_x0000_s1026" type="#_x0000_t202" style="position:absolute;margin-left:234pt;margin-top:5.7pt;width:85.1pt;height: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" stroked="f">
              <v:textbox>
                <w:txbxContent>
                  <w:p w14:paraId="4E2FA581" w14:textId="77777777" w:rsidR="00797852" w:rsidRDefault="002621B8" w:rsidP="00797852">
                    <w:r>
                      <w:rPr>
                        <w:noProof/>
                        <w:color w:val="FF99CC"/>
                      </w:rPr>
                      <w:drawing>
                        <wp:inline distT="0" distB="0" distL="0" distR="0" wp14:anchorId="02EF236B" wp14:editId="2B2E827C">
                          <wp:extent cx="892810" cy="892810"/>
                          <wp:effectExtent l="0" t="0" r="0" b="0"/>
                          <wp:docPr id="6" name="Picture 1" descr="Seal_Stat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State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892810"/>
                                  </a:xfrm>
                                  <a:prstGeom prst="rect">
                                    <a:avLst/>
                                  </a:prstGeom>
                                  <a:noFill/>
                                  <a:ln>
                                    <a:noFill/>
                                  </a:ln>
                                </pic:spPr>
                              </pic:pic>
                            </a:graphicData>
                          </a:graphic>
                        </wp:inline>
                      </w:drawing>
                    </w:r>
                    <w:r>
                      <w:rPr>
                        <w:noProof/>
                      </w:rPr>
                      <w:drawing>
                        <wp:inline distT="0" distB="0" distL="0" distR="0" wp14:anchorId="325094E2" wp14:editId="586C77AB">
                          <wp:extent cx="903605" cy="870585"/>
                          <wp:effectExtent l="0" t="0" r="0" b="0"/>
                          <wp:docPr id="5" name="Picture 2" descr="Seal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state-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5" cy="870585"/>
                                  </a:xfrm>
                                  <a:prstGeom prst="rect">
                                    <a:avLst/>
                                  </a:prstGeom>
                                  <a:noFill/>
                                  <a:ln>
                                    <a:noFill/>
                                  </a:ln>
                                </pic:spPr>
                              </pic:pic>
                            </a:graphicData>
                          </a:graphic>
                        </wp:inline>
                      </w:drawing>
                    </w:r>
                  </w:p>
                </w:txbxContent>
              </v:textbox>
            </v:shape>
          </w:pict>
        </mc:Fallback>
      </mc:AlternateContent>
    </w:r>
  </w:p>
  <w:p w14:paraId="2561D672" w14:textId="77777777" w:rsidR="00797852" w:rsidRDefault="00797852" w:rsidP="00797852">
    <w:pPr>
      <w:tabs>
        <w:tab w:val="center" w:pos="5264"/>
      </w:tabs>
      <w:spacing w:line="220" w:lineRule="atLeast"/>
      <w:rPr>
        <w:sz w:val="20"/>
      </w:rPr>
    </w:pPr>
  </w:p>
  <w:p w14:paraId="356CA144" w14:textId="77777777" w:rsidR="00797852" w:rsidRDefault="00797852" w:rsidP="00797852">
    <w:pPr>
      <w:spacing w:line="220" w:lineRule="atLeast"/>
      <w:rPr>
        <w:sz w:val="20"/>
      </w:rPr>
    </w:pPr>
  </w:p>
  <w:p w14:paraId="23737CFB" w14:textId="77777777" w:rsidR="00797852" w:rsidRDefault="00797852" w:rsidP="00797852">
    <w:pPr>
      <w:spacing w:line="260" w:lineRule="atLeast"/>
      <w:rPr>
        <w:rFonts w:ascii="TradeGothic LH BoldExtended" w:hAnsi="TradeGothic LH BoldExtended"/>
        <w:sz w:val="20"/>
      </w:rPr>
    </w:pPr>
  </w:p>
  <w:p w14:paraId="208E6368" w14:textId="77777777" w:rsidR="00797852" w:rsidRDefault="00797852" w:rsidP="00797852">
    <w:pPr>
      <w:spacing w:line="260" w:lineRule="atLeast"/>
      <w:rPr>
        <w:sz w:val="20"/>
      </w:rPr>
    </w:pPr>
  </w:p>
  <w:p w14:paraId="1188456E" w14:textId="77777777" w:rsidR="00797852" w:rsidRDefault="00797852" w:rsidP="00797852">
    <w:pPr>
      <w:spacing w:line="260" w:lineRule="atLeast"/>
      <w:rPr>
        <w:sz w:val="20"/>
      </w:rPr>
    </w:pPr>
  </w:p>
  <w:p w14:paraId="33DC4CBA" w14:textId="77777777" w:rsidR="00797852" w:rsidRDefault="00797852" w:rsidP="00797852">
    <w:pPr>
      <w:spacing w:line="140" w:lineRule="atLeast"/>
      <w:rPr>
        <w:sz w:val="20"/>
      </w:rPr>
    </w:pPr>
  </w:p>
  <w:p w14:paraId="25784527" w14:textId="77777777" w:rsidR="00797852" w:rsidRDefault="00797852" w:rsidP="00797852">
    <w:pPr>
      <w:pStyle w:val="CabDeptAgencytitle"/>
      <w:rPr>
        <w:b/>
        <w:bCs w:val="0"/>
        <w:w w:val="120"/>
      </w:rPr>
    </w:pPr>
    <w:r>
      <w:rPr>
        <w:b/>
        <w:bCs w:val="0"/>
        <w:w w:val="120"/>
      </w:rPr>
      <w:t>CABINET FOR HEALTH AND FAMILY SERVICES</w:t>
    </w:r>
  </w:p>
  <w:p w14:paraId="1201AAE2" w14:textId="5443CA13" w:rsidR="00DE0160" w:rsidRDefault="00DE0160" w:rsidP="00797852">
    <w:pPr>
      <w:pStyle w:val="CabDeptAgencytitle"/>
      <w:rPr>
        <w:b/>
        <w:bCs w:val="0"/>
        <w:w w:val="120"/>
      </w:rPr>
    </w:pPr>
  </w:p>
  <w:p w14:paraId="65055F0A" w14:textId="77777777" w:rsidR="00797852" w:rsidRDefault="002621B8" w:rsidP="00797852">
    <w:pPr>
      <w:tabs>
        <w:tab w:val="center" w:pos="6120"/>
      </w:tabs>
      <w:spacing w:line="180" w:lineRule="atLeast"/>
      <w:rPr>
        <w:b/>
        <w:bCs/>
        <w:sz w:val="16"/>
      </w:rPr>
    </w:pPr>
    <w:r>
      <w:rPr>
        <w:b/>
        <w:bCs/>
        <w:noProof/>
        <w:sz w:val="16"/>
      </w:rPr>
      <mc:AlternateContent>
        <mc:Choice Requires="wps">
          <w:drawing>
            <wp:anchor distT="0" distB="0" distL="114300" distR="114300" simplePos="0" relativeHeight="251658752" behindDoc="0" locked="0" layoutInCell="1" allowOverlap="1" wp14:anchorId="04B67100" wp14:editId="6619C92A">
              <wp:simplePos x="0" y="0"/>
              <wp:positionH relativeFrom="column">
                <wp:posOffset>2667000</wp:posOffset>
              </wp:positionH>
              <wp:positionV relativeFrom="paragraph">
                <wp:posOffset>89535</wp:posOffset>
              </wp:positionV>
              <wp:extent cx="1752600" cy="937260"/>
              <wp:effectExtent l="0" t="381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F0F18" w14:textId="029C04C1" w:rsidR="0019481C" w:rsidRDefault="0019481C" w:rsidP="0019481C">
                          <w:pPr>
                            <w:pStyle w:val="Address"/>
                          </w:pPr>
                          <w:r>
                            <w:t>2</w:t>
                          </w:r>
                          <w:r w:rsidR="00BD6CFE">
                            <w:t xml:space="preserve">75 East Main Street, </w:t>
                          </w:r>
                          <w:r w:rsidR="0060697F">
                            <w:t>4</w:t>
                          </w:r>
                          <w:r w:rsidR="00BD6CFE">
                            <w:t>W-E</w:t>
                          </w:r>
                        </w:p>
                        <w:p w14:paraId="0D830614" w14:textId="77777777" w:rsidR="0019481C" w:rsidRDefault="0019481C" w:rsidP="0019481C">
                          <w:pPr>
                            <w:pStyle w:val="Address"/>
                          </w:pPr>
                          <w:r>
                            <w:t>Frankfort, KY  40621</w:t>
                          </w:r>
                        </w:p>
                        <w:p w14:paraId="768CF87E" w14:textId="77777777" w:rsidR="002621B8" w:rsidRDefault="00DE0160" w:rsidP="00DE0160">
                          <w:pPr>
                            <w:pStyle w:val="Address"/>
                          </w:pPr>
                          <w:r>
                            <w:t>502-564-7940</w:t>
                          </w:r>
                        </w:p>
                        <w:p w14:paraId="1925E1B4" w14:textId="77777777" w:rsidR="0019481C" w:rsidRDefault="0019481C" w:rsidP="0019481C">
                          <w:pPr>
                            <w:pStyle w:val="Address"/>
                          </w:pPr>
                          <w:r>
                            <w:t>www.chfs.ky.gov</w:t>
                          </w:r>
                        </w:p>
                        <w:p w14:paraId="5D506778" w14:textId="77777777" w:rsidR="00797852" w:rsidRDefault="00797852" w:rsidP="00797852">
                          <w:pPr>
                            <w:pStyle w:val="Addres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67100" id="Text Box 3" o:spid="_x0000_s1027" type="#_x0000_t202" style="position:absolute;margin-left:210pt;margin-top:7.05pt;width:138pt;height:7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" stroked="f">
              <v:textbox>
                <w:txbxContent>
                  <w:p w14:paraId="67CF0F18" w14:textId="029C04C1" w:rsidR="0019481C" w:rsidRDefault="0019481C" w:rsidP="0019481C">
                    <w:pPr>
                      <w:pStyle w:val="Address"/>
                    </w:pPr>
                    <w:r>
                      <w:t>2</w:t>
                    </w:r>
                    <w:r w:rsidR="00BD6CFE">
                      <w:t xml:space="preserve">75 East Main Street, </w:t>
                    </w:r>
                    <w:r w:rsidR="0060697F">
                      <w:t>4</w:t>
                    </w:r>
                    <w:r w:rsidR="00BD6CFE">
                      <w:t>W-E</w:t>
                    </w:r>
                  </w:p>
                  <w:p w14:paraId="0D830614" w14:textId="77777777" w:rsidR="0019481C" w:rsidRDefault="0019481C" w:rsidP="0019481C">
                    <w:pPr>
                      <w:pStyle w:val="Address"/>
                    </w:pPr>
                    <w:r>
                      <w:t>Frankfort, KY  40621</w:t>
                    </w:r>
                  </w:p>
                  <w:p w14:paraId="768CF87E" w14:textId="77777777" w:rsidR="002621B8" w:rsidRDefault="00DE0160" w:rsidP="00DE0160">
                    <w:pPr>
                      <w:pStyle w:val="Address"/>
                    </w:pPr>
                    <w:r>
                      <w:t>502-564-7940</w:t>
                    </w:r>
                  </w:p>
                  <w:p w14:paraId="1925E1B4" w14:textId="77777777" w:rsidR="0019481C" w:rsidRDefault="0019481C" w:rsidP="0019481C">
                    <w:pPr>
                      <w:pStyle w:val="Address"/>
                    </w:pPr>
                    <w:r>
                      <w:t>www.chfs.ky.gov</w:t>
                    </w:r>
                  </w:p>
                  <w:p w14:paraId="5D506778" w14:textId="77777777" w:rsidR="00797852" w:rsidRDefault="00797852" w:rsidP="00797852">
                    <w:pPr>
                      <w:pStyle w:val="Address"/>
                    </w:pPr>
                  </w:p>
                </w:txbxContent>
              </v:textbox>
            </v:shape>
          </w:pict>
        </mc:Fallback>
      </mc:AlternateContent>
    </w:r>
  </w:p>
  <w:p w14:paraId="1A1BF2A7" w14:textId="77777777" w:rsidR="00797852" w:rsidRDefault="003F538A" w:rsidP="00AF3C2E">
    <w:pPr>
      <w:pStyle w:val="GovSecretaryDeputySecname"/>
      <w:tabs>
        <w:tab w:val="clear" w:pos="10944"/>
        <w:tab w:val="center" w:pos="9360"/>
      </w:tabs>
      <w:ind w:right="-267"/>
    </w:pPr>
    <w:r>
      <w:t>Andy Beshear</w:t>
    </w:r>
    <w:r w:rsidR="00797852">
      <w:tab/>
    </w:r>
    <w:r w:rsidR="00DE77E4">
      <w:t xml:space="preserve">              </w:t>
    </w:r>
    <w:r w:rsidR="00E42F8D">
      <w:t xml:space="preserve">     </w:t>
    </w:r>
    <w:r w:rsidR="005037B9">
      <w:t xml:space="preserve">      </w:t>
    </w:r>
    <w:r w:rsidR="00E42F8D">
      <w:t xml:space="preserve">  </w:t>
    </w:r>
    <w:r>
      <w:t>Eric C. Friedlander</w:t>
    </w:r>
  </w:p>
  <w:p w14:paraId="3D38B959" w14:textId="77777777" w:rsidR="00797852" w:rsidRDefault="00797852" w:rsidP="00AF3C2E">
    <w:pPr>
      <w:pStyle w:val="GovSecretaryDeputySectilte"/>
      <w:tabs>
        <w:tab w:val="clear" w:pos="10944"/>
        <w:tab w:val="center" w:pos="8730"/>
      </w:tabs>
      <w:ind w:right="-267"/>
    </w:pPr>
    <w:r>
      <w:t>Governor</w:t>
    </w:r>
    <w:r>
      <w:tab/>
    </w:r>
    <w:r w:rsidR="002621B8">
      <w:tab/>
    </w:r>
    <w:r w:rsidR="003F538A">
      <w:t xml:space="preserve"> </w:t>
    </w:r>
    <w:r>
      <w:t>Secretary</w:t>
    </w:r>
  </w:p>
  <w:p w14:paraId="442B6C84" w14:textId="77777777" w:rsidR="00797852" w:rsidRDefault="00797852" w:rsidP="00AF3C2E">
    <w:pPr>
      <w:pStyle w:val="GovSecretaryDeputySecname"/>
      <w:ind w:right="-267"/>
    </w:pPr>
  </w:p>
  <w:p w14:paraId="746101B4" w14:textId="56FA1D52" w:rsidR="00AF3C2E" w:rsidRDefault="00797852" w:rsidP="008D6BC5">
    <w:pPr>
      <w:pStyle w:val="GovSecretaryDeputySectilte"/>
      <w:tabs>
        <w:tab w:val="clear" w:pos="10944"/>
      </w:tabs>
      <w:ind w:right="-87"/>
      <w:jc w:val="right"/>
    </w:pPr>
    <w:r>
      <w:tab/>
    </w:r>
    <w:r w:rsidR="00AF3C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28C"/>
    <w:multiLevelType w:val="hybridMultilevel"/>
    <w:tmpl w:val="A0F0C0C0"/>
    <w:lvl w:ilvl="0" w:tplc="F5462AF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520F3E"/>
    <w:multiLevelType w:val="hybridMultilevel"/>
    <w:tmpl w:val="E168059C"/>
    <w:lvl w:ilvl="0" w:tplc="79F2B63E">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A1991"/>
    <w:multiLevelType w:val="hybridMultilevel"/>
    <w:tmpl w:val="DEFE5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73830"/>
    <w:multiLevelType w:val="hybridMultilevel"/>
    <w:tmpl w:val="652E2624"/>
    <w:lvl w:ilvl="0" w:tplc="F5462AF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120F9"/>
    <w:multiLevelType w:val="hybridMultilevel"/>
    <w:tmpl w:val="B8948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55944"/>
    <w:multiLevelType w:val="multilevel"/>
    <w:tmpl w:val="BB30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C11E57"/>
    <w:multiLevelType w:val="hybridMultilevel"/>
    <w:tmpl w:val="5B2041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9F90034"/>
    <w:multiLevelType w:val="hybridMultilevel"/>
    <w:tmpl w:val="B2B2D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620E37"/>
    <w:multiLevelType w:val="hybridMultilevel"/>
    <w:tmpl w:val="1B24A0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C418D9"/>
    <w:multiLevelType w:val="hybridMultilevel"/>
    <w:tmpl w:val="8B280F74"/>
    <w:lvl w:ilvl="0" w:tplc="37B0D268">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AA3440"/>
    <w:multiLevelType w:val="hybridMultilevel"/>
    <w:tmpl w:val="663C7EFE"/>
    <w:lvl w:ilvl="0" w:tplc="3B7C4F96">
      <w:numFmt w:val="bullet"/>
      <w:lvlText w:val=""/>
      <w:lvlJc w:val="left"/>
      <w:pPr>
        <w:tabs>
          <w:tab w:val="num" w:pos="792"/>
        </w:tabs>
        <w:ind w:left="792" w:hanging="288"/>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DA3B42"/>
    <w:multiLevelType w:val="hybridMultilevel"/>
    <w:tmpl w:val="400A2A6C"/>
    <w:lvl w:ilvl="0" w:tplc="3B7C4F96">
      <w:numFmt w:val="bullet"/>
      <w:lvlText w:val=""/>
      <w:lvlJc w:val="left"/>
      <w:pPr>
        <w:tabs>
          <w:tab w:val="num" w:pos="432"/>
        </w:tabs>
        <w:ind w:left="432" w:hanging="288"/>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A7F3E"/>
    <w:multiLevelType w:val="hybridMultilevel"/>
    <w:tmpl w:val="8486A2F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3" w15:restartNumberingAfterBreak="0">
    <w:nsid w:val="62720972"/>
    <w:multiLevelType w:val="hybridMultilevel"/>
    <w:tmpl w:val="6B6EB356"/>
    <w:lvl w:ilvl="0" w:tplc="3B7C4F96">
      <w:numFmt w:val="bullet"/>
      <w:lvlText w:val=""/>
      <w:lvlJc w:val="left"/>
      <w:pPr>
        <w:tabs>
          <w:tab w:val="num" w:pos="432"/>
        </w:tabs>
        <w:ind w:left="432" w:hanging="288"/>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5780828">
    <w:abstractNumId w:val="11"/>
  </w:num>
  <w:num w:numId="2" w16cid:durableId="996105206">
    <w:abstractNumId w:val="5"/>
  </w:num>
  <w:num w:numId="3" w16cid:durableId="519661081">
    <w:abstractNumId w:val="10"/>
  </w:num>
  <w:num w:numId="4" w16cid:durableId="728773854">
    <w:abstractNumId w:val="2"/>
  </w:num>
  <w:num w:numId="5" w16cid:durableId="922181809">
    <w:abstractNumId w:val="13"/>
  </w:num>
  <w:num w:numId="6" w16cid:durableId="2072073128">
    <w:abstractNumId w:val="7"/>
  </w:num>
  <w:num w:numId="7" w16cid:durableId="2009090094">
    <w:abstractNumId w:val="4"/>
  </w:num>
  <w:num w:numId="8" w16cid:durableId="1181118675">
    <w:abstractNumId w:val="8"/>
  </w:num>
  <w:num w:numId="9" w16cid:durableId="2129081057">
    <w:abstractNumId w:val="9"/>
  </w:num>
  <w:num w:numId="10" w16cid:durableId="1477455055">
    <w:abstractNumId w:val="1"/>
  </w:num>
  <w:num w:numId="11" w16cid:durableId="1889953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0238427">
    <w:abstractNumId w:val="12"/>
  </w:num>
  <w:num w:numId="13" w16cid:durableId="88741178">
    <w:abstractNumId w:val="3"/>
  </w:num>
  <w:num w:numId="14" w16cid:durableId="62280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B8"/>
    <w:rsid w:val="000338B5"/>
    <w:rsid w:val="00072FBF"/>
    <w:rsid w:val="0007440D"/>
    <w:rsid w:val="000873F2"/>
    <w:rsid w:val="00096D47"/>
    <w:rsid w:val="000C65CA"/>
    <w:rsid w:val="000D08B6"/>
    <w:rsid w:val="000E3849"/>
    <w:rsid w:val="000E6D79"/>
    <w:rsid w:val="000E7CA7"/>
    <w:rsid w:val="00100C32"/>
    <w:rsid w:val="001012B5"/>
    <w:rsid w:val="00113842"/>
    <w:rsid w:val="0017490F"/>
    <w:rsid w:val="00191703"/>
    <w:rsid w:val="001934E5"/>
    <w:rsid w:val="0019481C"/>
    <w:rsid w:val="001A0CE0"/>
    <w:rsid w:val="001A518D"/>
    <w:rsid w:val="001B368E"/>
    <w:rsid w:val="001B5034"/>
    <w:rsid w:val="001D6A40"/>
    <w:rsid w:val="001F0265"/>
    <w:rsid w:val="001F3FE8"/>
    <w:rsid w:val="00202F1C"/>
    <w:rsid w:val="00220749"/>
    <w:rsid w:val="002257A4"/>
    <w:rsid w:val="00225B33"/>
    <w:rsid w:val="00237F32"/>
    <w:rsid w:val="0024483B"/>
    <w:rsid w:val="002621B8"/>
    <w:rsid w:val="00280D3D"/>
    <w:rsid w:val="0028345D"/>
    <w:rsid w:val="00287294"/>
    <w:rsid w:val="002C690C"/>
    <w:rsid w:val="002D18F1"/>
    <w:rsid w:val="002D29D3"/>
    <w:rsid w:val="002D51EF"/>
    <w:rsid w:val="002D5CBA"/>
    <w:rsid w:val="002E26B7"/>
    <w:rsid w:val="002E496C"/>
    <w:rsid w:val="002E5D8A"/>
    <w:rsid w:val="002E617B"/>
    <w:rsid w:val="002F4235"/>
    <w:rsid w:val="003134FB"/>
    <w:rsid w:val="00314852"/>
    <w:rsid w:val="00322E22"/>
    <w:rsid w:val="00323413"/>
    <w:rsid w:val="00327256"/>
    <w:rsid w:val="00354F23"/>
    <w:rsid w:val="003560AB"/>
    <w:rsid w:val="003668D5"/>
    <w:rsid w:val="00371591"/>
    <w:rsid w:val="003758DD"/>
    <w:rsid w:val="00387552"/>
    <w:rsid w:val="00394027"/>
    <w:rsid w:val="003C0AEC"/>
    <w:rsid w:val="003C10B5"/>
    <w:rsid w:val="003C4189"/>
    <w:rsid w:val="003C5712"/>
    <w:rsid w:val="003D1987"/>
    <w:rsid w:val="003D5657"/>
    <w:rsid w:val="003D5F4D"/>
    <w:rsid w:val="003E754A"/>
    <w:rsid w:val="003F166A"/>
    <w:rsid w:val="003F538A"/>
    <w:rsid w:val="003F66E2"/>
    <w:rsid w:val="00427A0E"/>
    <w:rsid w:val="0043084B"/>
    <w:rsid w:val="00430D67"/>
    <w:rsid w:val="00436673"/>
    <w:rsid w:val="0045289E"/>
    <w:rsid w:val="00480CFD"/>
    <w:rsid w:val="004922A4"/>
    <w:rsid w:val="004A082C"/>
    <w:rsid w:val="004A3652"/>
    <w:rsid w:val="004C0503"/>
    <w:rsid w:val="004D0E1A"/>
    <w:rsid w:val="005037B9"/>
    <w:rsid w:val="005135DD"/>
    <w:rsid w:val="0052108B"/>
    <w:rsid w:val="00524DAE"/>
    <w:rsid w:val="00525D43"/>
    <w:rsid w:val="00532EBB"/>
    <w:rsid w:val="00536257"/>
    <w:rsid w:val="005362BE"/>
    <w:rsid w:val="00540F86"/>
    <w:rsid w:val="00541EA0"/>
    <w:rsid w:val="00547EC7"/>
    <w:rsid w:val="005524AC"/>
    <w:rsid w:val="00560F32"/>
    <w:rsid w:val="00563ED7"/>
    <w:rsid w:val="00585967"/>
    <w:rsid w:val="005922E1"/>
    <w:rsid w:val="005A073E"/>
    <w:rsid w:val="005B2FBA"/>
    <w:rsid w:val="005D544F"/>
    <w:rsid w:val="005D7EAE"/>
    <w:rsid w:val="005F1332"/>
    <w:rsid w:val="00601ECA"/>
    <w:rsid w:val="0060697F"/>
    <w:rsid w:val="00607626"/>
    <w:rsid w:val="0061090B"/>
    <w:rsid w:val="00626F38"/>
    <w:rsid w:val="00633FA6"/>
    <w:rsid w:val="0063467E"/>
    <w:rsid w:val="00635AFC"/>
    <w:rsid w:val="00651437"/>
    <w:rsid w:val="00655C92"/>
    <w:rsid w:val="0066589B"/>
    <w:rsid w:val="0067234B"/>
    <w:rsid w:val="0069732D"/>
    <w:rsid w:val="006A7CD8"/>
    <w:rsid w:val="006B2951"/>
    <w:rsid w:val="006B3577"/>
    <w:rsid w:val="006C43DA"/>
    <w:rsid w:val="006E13C9"/>
    <w:rsid w:val="0071097C"/>
    <w:rsid w:val="007171EB"/>
    <w:rsid w:val="007176BD"/>
    <w:rsid w:val="00720D92"/>
    <w:rsid w:val="00726C4E"/>
    <w:rsid w:val="00740DCB"/>
    <w:rsid w:val="00776D4D"/>
    <w:rsid w:val="00781F04"/>
    <w:rsid w:val="00784B7A"/>
    <w:rsid w:val="007875D6"/>
    <w:rsid w:val="00792735"/>
    <w:rsid w:val="00797852"/>
    <w:rsid w:val="007A0FC9"/>
    <w:rsid w:val="007A6317"/>
    <w:rsid w:val="007B16CD"/>
    <w:rsid w:val="007D217B"/>
    <w:rsid w:val="007D2AE9"/>
    <w:rsid w:val="007F5F6E"/>
    <w:rsid w:val="0081658E"/>
    <w:rsid w:val="00841387"/>
    <w:rsid w:val="00847F26"/>
    <w:rsid w:val="0086197E"/>
    <w:rsid w:val="00867DE4"/>
    <w:rsid w:val="008A33B7"/>
    <w:rsid w:val="008A4051"/>
    <w:rsid w:val="008A414C"/>
    <w:rsid w:val="008B7EFF"/>
    <w:rsid w:val="008C09F2"/>
    <w:rsid w:val="008D02D6"/>
    <w:rsid w:val="008D6BC5"/>
    <w:rsid w:val="008D6F4E"/>
    <w:rsid w:val="00910BC7"/>
    <w:rsid w:val="00923E87"/>
    <w:rsid w:val="00924D99"/>
    <w:rsid w:val="009252C2"/>
    <w:rsid w:val="009273FE"/>
    <w:rsid w:val="009651EB"/>
    <w:rsid w:val="00966098"/>
    <w:rsid w:val="00976E33"/>
    <w:rsid w:val="00992582"/>
    <w:rsid w:val="009A168A"/>
    <w:rsid w:val="009A51BF"/>
    <w:rsid w:val="009B40EE"/>
    <w:rsid w:val="009E638F"/>
    <w:rsid w:val="00A07E8E"/>
    <w:rsid w:val="00A15CB9"/>
    <w:rsid w:val="00A269C2"/>
    <w:rsid w:val="00A4613D"/>
    <w:rsid w:val="00A56333"/>
    <w:rsid w:val="00A73643"/>
    <w:rsid w:val="00A856A3"/>
    <w:rsid w:val="00AA10A9"/>
    <w:rsid w:val="00AC036F"/>
    <w:rsid w:val="00AC503D"/>
    <w:rsid w:val="00AE21C3"/>
    <w:rsid w:val="00AF3C2E"/>
    <w:rsid w:val="00B0325E"/>
    <w:rsid w:val="00B03903"/>
    <w:rsid w:val="00B32A9E"/>
    <w:rsid w:val="00B33CC2"/>
    <w:rsid w:val="00B364EA"/>
    <w:rsid w:val="00B428A3"/>
    <w:rsid w:val="00B434D8"/>
    <w:rsid w:val="00B51270"/>
    <w:rsid w:val="00B56785"/>
    <w:rsid w:val="00B64704"/>
    <w:rsid w:val="00B703C7"/>
    <w:rsid w:val="00B734C5"/>
    <w:rsid w:val="00B82F96"/>
    <w:rsid w:val="00B85E7C"/>
    <w:rsid w:val="00BA176E"/>
    <w:rsid w:val="00BC0F79"/>
    <w:rsid w:val="00BC21CE"/>
    <w:rsid w:val="00BC3AD0"/>
    <w:rsid w:val="00BD6CFE"/>
    <w:rsid w:val="00BF1D9F"/>
    <w:rsid w:val="00BF3A23"/>
    <w:rsid w:val="00C10199"/>
    <w:rsid w:val="00C10849"/>
    <w:rsid w:val="00C1319F"/>
    <w:rsid w:val="00C305BC"/>
    <w:rsid w:val="00C40E94"/>
    <w:rsid w:val="00C508D9"/>
    <w:rsid w:val="00C61146"/>
    <w:rsid w:val="00C63D63"/>
    <w:rsid w:val="00C64E29"/>
    <w:rsid w:val="00C66601"/>
    <w:rsid w:val="00C81A66"/>
    <w:rsid w:val="00C84488"/>
    <w:rsid w:val="00C844EA"/>
    <w:rsid w:val="00C847BD"/>
    <w:rsid w:val="00CA7AEA"/>
    <w:rsid w:val="00CC1C59"/>
    <w:rsid w:val="00CC5487"/>
    <w:rsid w:val="00D03318"/>
    <w:rsid w:val="00D03565"/>
    <w:rsid w:val="00D070A4"/>
    <w:rsid w:val="00D24D62"/>
    <w:rsid w:val="00D351DF"/>
    <w:rsid w:val="00D3596D"/>
    <w:rsid w:val="00D35A0C"/>
    <w:rsid w:val="00D544E0"/>
    <w:rsid w:val="00D55AC9"/>
    <w:rsid w:val="00D5798D"/>
    <w:rsid w:val="00D57DD6"/>
    <w:rsid w:val="00D62EDF"/>
    <w:rsid w:val="00D73EAC"/>
    <w:rsid w:val="00D7738D"/>
    <w:rsid w:val="00D9414D"/>
    <w:rsid w:val="00D95B48"/>
    <w:rsid w:val="00D97958"/>
    <w:rsid w:val="00DA151E"/>
    <w:rsid w:val="00DA392D"/>
    <w:rsid w:val="00DA4C4C"/>
    <w:rsid w:val="00DB0D30"/>
    <w:rsid w:val="00DB2256"/>
    <w:rsid w:val="00DB5244"/>
    <w:rsid w:val="00DC7FB2"/>
    <w:rsid w:val="00DD0743"/>
    <w:rsid w:val="00DE0160"/>
    <w:rsid w:val="00DE6D64"/>
    <w:rsid w:val="00DE77E4"/>
    <w:rsid w:val="00DF3E1E"/>
    <w:rsid w:val="00DF68FF"/>
    <w:rsid w:val="00E16A84"/>
    <w:rsid w:val="00E20432"/>
    <w:rsid w:val="00E274FB"/>
    <w:rsid w:val="00E329A8"/>
    <w:rsid w:val="00E33080"/>
    <w:rsid w:val="00E367CE"/>
    <w:rsid w:val="00E407CB"/>
    <w:rsid w:val="00E410B8"/>
    <w:rsid w:val="00E42F8D"/>
    <w:rsid w:val="00E50F01"/>
    <w:rsid w:val="00E5548F"/>
    <w:rsid w:val="00E61A8C"/>
    <w:rsid w:val="00E65858"/>
    <w:rsid w:val="00E660A9"/>
    <w:rsid w:val="00E67BEF"/>
    <w:rsid w:val="00E7092C"/>
    <w:rsid w:val="00E929A5"/>
    <w:rsid w:val="00E93EA8"/>
    <w:rsid w:val="00E95048"/>
    <w:rsid w:val="00EB0FEF"/>
    <w:rsid w:val="00EE34D6"/>
    <w:rsid w:val="00EF5F2F"/>
    <w:rsid w:val="00F0079B"/>
    <w:rsid w:val="00F035C1"/>
    <w:rsid w:val="00F21039"/>
    <w:rsid w:val="00F24449"/>
    <w:rsid w:val="00F27813"/>
    <w:rsid w:val="00F30990"/>
    <w:rsid w:val="00F30C9C"/>
    <w:rsid w:val="00F36945"/>
    <w:rsid w:val="00F54D2A"/>
    <w:rsid w:val="00F63153"/>
    <w:rsid w:val="00F70416"/>
    <w:rsid w:val="00F81C7F"/>
    <w:rsid w:val="00F82724"/>
    <w:rsid w:val="00F90E50"/>
    <w:rsid w:val="00FA098A"/>
    <w:rsid w:val="00FD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3817F"/>
  <w15:chartTrackingRefBased/>
  <w15:docId w15:val="{C4489F58-823D-4D2A-AA64-EA2C6EF8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08B"/>
    <w:rPr>
      <w:rFonts w:ascii="Arial" w:hAnsi="Arial"/>
      <w:sz w:val="22"/>
      <w:szCs w:val="24"/>
    </w:rPr>
  </w:style>
  <w:style w:type="paragraph" w:styleId="Heading1">
    <w:name w:val="heading 1"/>
    <w:basedOn w:val="Normal"/>
    <w:next w:val="Normal"/>
    <w:qFormat/>
    <w:rsid w:val="0052108B"/>
    <w:pPr>
      <w:keepNext/>
      <w:tabs>
        <w:tab w:val="center" w:pos="6120"/>
      </w:tabs>
      <w:spacing w:line="260" w:lineRule="atLeast"/>
      <w:outlineLvl w:val="0"/>
    </w:pPr>
    <w:rPr>
      <w:b/>
      <w:bCs/>
      <w:sz w:val="20"/>
    </w:rPr>
  </w:style>
  <w:style w:type="paragraph" w:styleId="Heading2">
    <w:name w:val="heading 2"/>
    <w:basedOn w:val="Normal"/>
    <w:next w:val="Normal"/>
    <w:qFormat/>
    <w:rsid w:val="0052108B"/>
    <w:pPr>
      <w:keepNext/>
      <w:tabs>
        <w:tab w:val="left" w:pos="8280"/>
      </w:tabs>
      <w:spacing w:line="260" w:lineRule="atLeast"/>
      <w:ind w:left="11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08B"/>
    <w:pPr>
      <w:tabs>
        <w:tab w:val="center" w:pos="4320"/>
        <w:tab w:val="right" w:pos="8640"/>
      </w:tabs>
    </w:pPr>
  </w:style>
  <w:style w:type="paragraph" w:styleId="Footer">
    <w:name w:val="footer"/>
    <w:basedOn w:val="Normal"/>
    <w:rsid w:val="0052108B"/>
    <w:pPr>
      <w:tabs>
        <w:tab w:val="center" w:pos="4320"/>
        <w:tab w:val="right" w:pos="8640"/>
      </w:tabs>
    </w:pPr>
  </w:style>
  <w:style w:type="character" w:customStyle="1" w:styleId="normal-small1">
    <w:name w:val="normal-small1"/>
    <w:rsid w:val="0052108B"/>
    <w:rPr>
      <w:rFonts w:ascii="Tahoma" w:hAnsi="Tahoma" w:cs="Tahoma" w:hint="default"/>
      <w:spacing w:val="0"/>
      <w:sz w:val="19"/>
      <w:szCs w:val="19"/>
    </w:rPr>
  </w:style>
  <w:style w:type="paragraph" w:styleId="BlockText">
    <w:name w:val="Block Text"/>
    <w:basedOn w:val="Normal"/>
    <w:rsid w:val="0052108B"/>
    <w:pPr>
      <w:tabs>
        <w:tab w:val="left" w:pos="7920"/>
        <w:tab w:val="center" w:pos="10065"/>
      </w:tabs>
      <w:spacing w:line="260" w:lineRule="atLeast"/>
      <w:ind w:left="1134" w:right="132"/>
    </w:pPr>
    <w:rPr>
      <w:sz w:val="18"/>
    </w:rPr>
  </w:style>
  <w:style w:type="character" w:styleId="Hyperlink">
    <w:name w:val="Hyperlink"/>
    <w:rsid w:val="000338B5"/>
    <w:rPr>
      <w:color w:val="0000FF"/>
      <w:u w:val="single"/>
    </w:rPr>
  </w:style>
  <w:style w:type="character" w:styleId="FollowedHyperlink">
    <w:name w:val="FollowedHyperlink"/>
    <w:rsid w:val="00C61146"/>
    <w:rPr>
      <w:color w:val="800080"/>
      <w:u w:val="single"/>
    </w:rPr>
  </w:style>
  <w:style w:type="paragraph" w:customStyle="1" w:styleId="NormalWeb2">
    <w:name w:val="Normal (Web)2"/>
    <w:basedOn w:val="Normal"/>
    <w:rsid w:val="000C65CA"/>
    <w:rPr>
      <w:rFonts w:ascii="Verdana" w:hAnsi="Verdana"/>
      <w:color w:val="000000"/>
      <w:szCs w:val="22"/>
    </w:rPr>
  </w:style>
  <w:style w:type="character" w:styleId="CommentReference">
    <w:name w:val="annotation reference"/>
    <w:semiHidden/>
    <w:rsid w:val="0024483B"/>
    <w:rPr>
      <w:sz w:val="16"/>
      <w:szCs w:val="16"/>
    </w:rPr>
  </w:style>
  <w:style w:type="paragraph" w:styleId="CommentText">
    <w:name w:val="annotation text"/>
    <w:basedOn w:val="Normal"/>
    <w:semiHidden/>
    <w:rsid w:val="0024483B"/>
    <w:rPr>
      <w:rFonts w:ascii="Times New Roman" w:hAnsi="Times New Roman"/>
      <w:sz w:val="20"/>
      <w:szCs w:val="20"/>
    </w:rPr>
  </w:style>
  <w:style w:type="paragraph" w:styleId="BalloonText">
    <w:name w:val="Balloon Text"/>
    <w:basedOn w:val="Normal"/>
    <w:semiHidden/>
    <w:rsid w:val="0024483B"/>
    <w:rPr>
      <w:rFonts w:ascii="Tahoma" w:hAnsi="Tahoma" w:cs="Tahoma"/>
      <w:sz w:val="16"/>
      <w:szCs w:val="16"/>
    </w:rPr>
  </w:style>
  <w:style w:type="paragraph" w:customStyle="1" w:styleId="CabDeptAgencytitle">
    <w:name w:val="Cab/Dept/Agency title"/>
    <w:basedOn w:val="Normal"/>
    <w:rsid w:val="00797852"/>
    <w:pPr>
      <w:tabs>
        <w:tab w:val="center" w:pos="5558"/>
      </w:tabs>
      <w:spacing w:line="260" w:lineRule="atLeast"/>
      <w:jc w:val="center"/>
    </w:pPr>
    <w:rPr>
      <w:bCs/>
      <w:color w:val="003994"/>
      <w:spacing w:val="20"/>
      <w:w w:val="115"/>
      <w:sz w:val="20"/>
    </w:rPr>
  </w:style>
  <w:style w:type="paragraph" w:customStyle="1" w:styleId="GovSecretaryDeputySecname">
    <w:name w:val="Gov/Secretary/Deputy Sec name"/>
    <w:basedOn w:val="Normal"/>
    <w:rsid w:val="00797852"/>
    <w:pPr>
      <w:tabs>
        <w:tab w:val="center" w:pos="10944"/>
      </w:tabs>
      <w:spacing w:line="250" w:lineRule="atLeast"/>
    </w:pPr>
    <w:rPr>
      <w:b/>
      <w:bCs/>
      <w:color w:val="003994"/>
      <w:w w:val="95"/>
    </w:rPr>
  </w:style>
  <w:style w:type="paragraph" w:customStyle="1" w:styleId="GovSecretaryDeputySectilte">
    <w:name w:val="Gov/Secretary/Deputy Sec tilte"/>
    <w:basedOn w:val="Normal"/>
    <w:rsid w:val="00797852"/>
    <w:pPr>
      <w:tabs>
        <w:tab w:val="center" w:pos="10944"/>
      </w:tabs>
      <w:spacing w:line="260" w:lineRule="atLeast"/>
    </w:pPr>
    <w:rPr>
      <w:color w:val="003994"/>
      <w:w w:val="95"/>
    </w:rPr>
  </w:style>
  <w:style w:type="paragraph" w:customStyle="1" w:styleId="Address">
    <w:name w:val="Address"/>
    <w:basedOn w:val="Normal"/>
    <w:rsid w:val="00797852"/>
    <w:pPr>
      <w:spacing w:before="20" w:line="200" w:lineRule="atLeast"/>
      <w:jc w:val="center"/>
    </w:pPr>
    <w:rPr>
      <w:color w:val="003994"/>
      <w:w w:val="95"/>
      <w:sz w:val="18"/>
    </w:rPr>
  </w:style>
  <w:style w:type="character" w:styleId="PageNumber">
    <w:name w:val="page number"/>
    <w:basedOn w:val="DefaultParagraphFont"/>
    <w:rsid w:val="00E67BEF"/>
  </w:style>
  <w:style w:type="character" w:customStyle="1" w:styleId="style71">
    <w:name w:val="style71"/>
    <w:rsid w:val="00924D99"/>
    <w:rPr>
      <w:rFonts w:ascii="Arial" w:hAnsi="Arial" w:cs="Arial" w:hint="default"/>
      <w:sz w:val="24"/>
      <w:szCs w:val="24"/>
    </w:rPr>
  </w:style>
  <w:style w:type="paragraph" w:styleId="ListParagraph">
    <w:name w:val="List Paragraph"/>
    <w:basedOn w:val="Normal"/>
    <w:uiPriority w:val="34"/>
    <w:qFormat/>
    <w:rsid w:val="00314852"/>
    <w:pPr>
      <w:spacing w:after="200" w:line="276" w:lineRule="auto"/>
      <w:ind w:left="720"/>
      <w:contextualSpacing/>
    </w:pPr>
    <w:rPr>
      <w:rFonts w:ascii="Calibri" w:eastAsia="Calibri" w:hAnsi="Calibri"/>
      <w:szCs w:val="22"/>
    </w:rPr>
  </w:style>
  <w:style w:type="character" w:customStyle="1" w:styleId="HeaderChar">
    <w:name w:val="Header Char"/>
    <w:link w:val="Header"/>
    <w:uiPriority w:val="99"/>
    <w:rsid w:val="00D5798D"/>
    <w:rPr>
      <w:rFonts w:ascii="Arial" w:hAnsi="Arial"/>
      <w:sz w:val="22"/>
      <w:szCs w:val="24"/>
    </w:rPr>
  </w:style>
  <w:style w:type="paragraph" w:customStyle="1" w:styleId="Default">
    <w:name w:val="Default"/>
    <w:rsid w:val="001D6A40"/>
    <w:pPr>
      <w:autoSpaceDE w:val="0"/>
      <w:autoSpaceDN w:val="0"/>
      <w:adjustRightInd w:val="0"/>
    </w:pPr>
    <w:rPr>
      <w:rFonts w:ascii="Arial" w:eastAsia="Calibri" w:hAnsi="Arial" w:cs="Arial"/>
      <w:color w:val="000000"/>
      <w:sz w:val="24"/>
      <w:szCs w:val="24"/>
    </w:rPr>
  </w:style>
  <w:style w:type="paragraph" w:styleId="BodyText">
    <w:name w:val="Body Text"/>
    <w:basedOn w:val="Normal"/>
    <w:link w:val="BodyTextChar"/>
    <w:unhideWhenUsed/>
    <w:rsid w:val="00CA7AEA"/>
    <w:pPr>
      <w:spacing w:after="120"/>
    </w:pPr>
    <w:rPr>
      <w:rFonts w:ascii="Times New Roman" w:hAnsi="Times New Roman"/>
      <w:sz w:val="20"/>
      <w:szCs w:val="20"/>
    </w:rPr>
  </w:style>
  <w:style w:type="character" w:customStyle="1" w:styleId="BodyTextChar">
    <w:name w:val="Body Text Char"/>
    <w:basedOn w:val="DefaultParagraphFont"/>
    <w:link w:val="BodyText"/>
    <w:rsid w:val="00CA7AEA"/>
  </w:style>
  <w:style w:type="character" w:customStyle="1" w:styleId="defbody1">
    <w:name w:val="defbody1"/>
    <w:rsid w:val="00AA10A9"/>
    <w:rPr>
      <w:b w:val="0"/>
      <w:bCs w:val="0"/>
    </w:rPr>
  </w:style>
  <w:style w:type="table" w:styleId="LightList">
    <w:name w:val="Light List"/>
    <w:basedOn w:val="TableNormal"/>
    <w:uiPriority w:val="61"/>
    <w:rsid w:val="00A856A3"/>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trong">
    <w:name w:val="Strong"/>
    <w:uiPriority w:val="22"/>
    <w:qFormat/>
    <w:rsid w:val="00A856A3"/>
    <w:rPr>
      <w:b/>
      <w:bCs/>
    </w:rPr>
  </w:style>
  <w:style w:type="paragraph" w:styleId="PlainText">
    <w:name w:val="Plain Text"/>
    <w:basedOn w:val="Normal"/>
    <w:link w:val="PlainTextChar"/>
    <w:uiPriority w:val="99"/>
    <w:unhideWhenUsed/>
    <w:rsid w:val="0028345D"/>
    <w:rPr>
      <w:rFonts w:eastAsia="Calibri"/>
      <w:szCs w:val="21"/>
    </w:rPr>
  </w:style>
  <w:style w:type="character" w:customStyle="1" w:styleId="PlainTextChar">
    <w:name w:val="Plain Text Char"/>
    <w:link w:val="PlainText"/>
    <w:uiPriority w:val="99"/>
    <w:rsid w:val="0028345D"/>
    <w:rPr>
      <w:rFonts w:ascii="Arial" w:eastAsia="Calibri" w:hAnsi="Arial"/>
      <w:sz w:val="22"/>
      <w:szCs w:val="21"/>
    </w:rPr>
  </w:style>
  <w:style w:type="paragraph" w:styleId="NoSpacing">
    <w:name w:val="No Spacing"/>
    <w:uiPriority w:val="1"/>
    <w:qFormat/>
    <w:rsid w:val="0028345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7545">
      <w:bodyDiv w:val="1"/>
      <w:marLeft w:val="0"/>
      <w:marRight w:val="0"/>
      <w:marTop w:val="0"/>
      <w:marBottom w:val="0"/>
      <w:divBdr>
        <w:top w:val="none" w:sz="0" w:space="0" w:color="auto"/>
        <w:left w:val="none" w:sz="0" w:space="0" w:color="auto"/>
        <w:bottom w:val="none" w:sz="0" w:space="0" w:color="auto"/>
        <w:right w:val="none" w:sz="0" w:space="0" w:color="auto"/>
      </w:divBdr>
    </w:div>
    <w:div w:id="311981031">
      <w:bodyDiv w:val="1"/>
      <w:marLeft w:val="0"/>
      <w:marRight w:val="0"/>
      <w:marTop w:val="0"/>
      <w:marBottom w:val="0"/>
      <w:divBdr>
        <w:top w:val="none" w:sz="0" w:space="0" w:color="auto"/>
        <w:left w:val="none" w:sz="0" w:space="0" w:color="auto"/>
        <w:bottom w:val="none" w:sz="0" w:space="0" w:color="auto"/>
        <w:right w:val="none" w:sz="0" w:space="0" w:color="auto"/>
      </w:divBdr>
    </w:div>
    <w:div w:id="501898259">
      <w:bodyDiv w:val="1"/>
      <w:marLeft w:val="0"/>
      <w:marRight w:val="0"/>
      <w:marTop w:val="0"/>
      <w:marBottom w:val="0"/>
      <w:divBdr>
        <w:top w:val="none" w:sz="0" w:space="0" w:color="auto"/>
        <w:left w:val="none" w:sz="0" w:space="0" w:color="auto"/>
        <w:bottom w:val="none" w:sz="0" w:space="0" w:color="auto"/>
        <w:right w:val="none" w:sz="0" w:space="0" w:color="auto"/>
      </w:divBdr>
    </w:div>
    <w:div w:id="1001539855">
      <w:bodyDiv w:val="1"/>
      <w:marLeft w:val="0"/>
      <w:marRight w:val="0"/>
      <w:marTop w:val="0"/>
      <w:marBottom w:val="0"/>
      <w:divBdr>
        <w:top w:val="none" w:sz="0" w:space="0" w:color="auto"/>
        <w:left w:val="none" w:sz="0" w:space="0" w:color="auto"/>
        <w:bottom w:val="none" w:sz="0" w:space="0" w:color="auto"/>
        <w:right w:val="none" w:sz="0" w:space="0" w:color="auto"/>
      </w:divBdr>
    </w:div>
    <w:div w:id="1411537387">
      <w:bodyDiv w:val="1"/>
      <w:marLeft w:val="0"/>
      <w:marRight w:val="0"/>
      <w:marTop w:val="0"/>
      <w:marBottom w:val="0"/>
      <w:divBdr>
        <w:top w:val="none" w:sz="0" w:space="0" w:color="auto"/>
        <w:left w:val="none" w:sz="0" w:space="0" w:color="auto"/>
        <w:bottom w:val="none" w:sz="0" w:space="0" w:color="auto"/>
        <w:right w:val="none" w:sz="0" w:space="0" w:color="auto"/>
      </w:divBdr>
    </w:div>
    <w:div w:id="1527526873">
      <w:bodyDiv w:val="1"/>
      <w:marLeft w:val="0"/>
      <w:marRight w:val="0"/>
      <w:marTop w:val="0"/>
      <w:marBottom w:val="0"/>
      <w:divBdr>
        <w:top w:val="none" w:sz="0" w:space="0" w:color="auto"/>
        <w:left w:val="none" w:sz="0" w:space="0" w:color="auto"/>
        <w:bottom w:val="none" w:sz="0" w:space="0" w:color="auto"/>
        <w:right w:val="none" w:sz="0" w:space="0" w:color="auto"/>
      </w:divBdr>
    </w:div>
    <w:div w:id="1706327775">
      <w:bodyDiv w:val="1"/>
      <w:marLeft w:val="0"/>
      <w:marRight w:val="0"/>
      <w:marTop w:val="0"/>
      <w:marBottom w:val="0"/>
      <w:divBdr>
        <w:top w:val="none" w:sz="0" w:space="0" w:color="auto"/>
        <w:left w:val="none" w:sz="0" w:space="0" w:color="auto"/>
        <w:bottom w:val="none" w:sz="0" w:space="0" w:color="auto"/>
        <w:right w:val="none" w:sz="0" w:space="0" w:color="auto"/>
      </w:divBdr>
    </w:div>
    <w:div w:id="1730378625">
      <w:bodyDiv w:val="1"/>
      <w:marLeft w:val="0"/>
      <w:marRight w:val="0"/>
      <w:marTop w:val="0"/>
      <w:marBottom w:val="0"/>
      <w:divBdr>
        <w:top w:val="none" w:sz="0" w:space="0" w:color="auto"/>
        <w:left w:val="none" w:sz="0" w:space="0" w:color="auto"/>
        <w:bottom w:val="none" w:sz="0" w:space="0" w:color="auto"/>
        <w:right w:val="none" w:sz="0" w:space="0" w:color="auto"/>
      </w:divBdr>
    </w:div>
    <w:div w:id="174267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gan.gaetz\AppData\Local\Microsoft\Windows\INetCache\Content.Outlook\8IEOHO13\OHDA%20Letterhead%20Template%203-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5C15D297D40479B332AFB46345EFC" ma:contentTypeVersion="13" ma:contentTypeDescription="Create a new document." ma:contentTypeScope="" ma:versionID="7ab6f515e85ac7ce608fdb2a6e101a9b">
  <xsd:schema xmlns:xsd="http://www.w3.org/2001/XMLSchema" xmlns:xs="http://www.w3.org/2001/XMLSchema" xmlns:p="http://schemas.microsoft.com/office/2006/metadata/properties" xmlns:ns3="80aa9f77-b159-45fa-8232-2509e0fd68b3" xmlns:ns4="2536b6ad-16fd-47dd-82ef-a3acd3365ea7" targetNamespace="http://schemas.microsoft.com/office/2006/metadata/properties" ma:root="true" ma:fieldsID="72bd67784915d1bec52edf8130c4d5f9" ns3:_="" ns4:_="">
    <xsd:import namespace="80aa9f77-b159-45fa-8232-2509e0fd68b3"/>
    <xsd:import namespace="2536b6ad-16fd-47dd-82ef-a3acd3365e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a9f77-b159-45fa-8232-2509e0fd6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6b6ad-16fd-47dd-82ef-a3acd3365e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0aa9f77-b159-45fa-8232-2509e0fd68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572BF-C399-497C-B250-EC7A1115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a9f77-b159-45fa-8232-2509e0fd68b3"/>
    <ds:schemaRef ds:uri="2536b6ad-16fd-47dd-82ef-a3acd3365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549AB-9827-4A54-A4EA-04D7D8E423A7}">
  <ds:schemaRefs>
    <ds:schemaRef ds:uri="http://schemas.microsoft.com/office/2006/metadata/properties"/>
    <ds:schemaRef ds:uri="http://schemas.microsoft.com/office/infopath/2007/PartnerControls"/>
    <ds:schemaRef ds:uri="80aa9f77-b159-45fa-8232-2509e0fd68b3"/>
  </ds:schemaRefs>
</ds:datastoreItem>
</file>

<file path=customXml/itemProps3.xml><?xml version="1.0" encoding="utf-8"?>
<ds:datastoreItem xmlns:ds="http://schemas.openxmlformats.org/officeDocument/2006/customXml" ds:itemID="{DDB79CBF-6FFE-4A57-9378-C4583DF0F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OHDA Letterhead Template 3-2020</Template>
  <TotalTime>3</TotalTime>
  <Pages>2</Pages>
  <Words>572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January 29, 2005</vt:lpstr>
    </vt:vector>
  </TitlesOfParts>
  <Company>OT</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2005</dc:title>
  <dc:subject/>
  <dc:creator>reagan.gaetz</dc:creator>
  <cp:keywords/>
  <cp:lastModifiedBy>Fochtman, Elissa L (CHFS OPB)</cp:lastModifiedBy>
  <cp:revision>2</cp:revision>
  <cp:lastPrinted>2016-02-26T16:38:00Z</cp:lastPrinted>
  <dcterms:created xsi:type="dcterms:W3CDTF">2024-11-21T16:07:00Z</dcterms:created>
  <dcterms:modified xsi:type="dcterms:W3CDTF">2024-11-21T16:07:00Z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0x0101005945C15D297D40479B332AFB46345EFC</vt:lpwstr>
  </property>
</Properties>
</file>